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改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革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报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表（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2024版</w:t>
      </w:r>
      <w:r>
        <w:rPr>
          <w:rFonts w:hint="eastAsia" w:ascii="Times New Roman" w:hAnsi="Times New Roman" w:eastAsia="方正公文小标宋" w:cs="方正公文小标宋"/>
          <w:b/>
          <w:bCs/>
          <w:color w:val="auto"/>
          <w:sz w:val="44"/>
          <w:szCs w:val="44"/>
          <w:lang w:eastAsia="zh-CN"/>
        </w:rPr>
        <w:t>）</w:t>
      </w:r>
    </w:p>
    <w:tbl>
      <w:tblPr>
        <w:tblStyle w:val="4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58"/>
        <w:gridCol w:w="2065"/>
        <w:gridCol w:w="7001"/>
        <w:gridCol w:w="112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评价维度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指标名称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评价内容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评价周期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数据来源单位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数字重庆建设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“一地创新、全市共享”的独立开发应用数、一体化治理智治平台使用率、“一件事”应用数及上线数、区县城运中心贯通应用数、区县城运中心事件处置率、数据归集贡献率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eastAsia="zh-CN" w:bidi="ar-SA"/>
              </w:rPr>
              <w:t>6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项内容，按 25：20：15：10：15：15 分配权重，总分 100 分。</w:t>
            </w:r>
          </w:p>
          <w:p>
            <w:pPr>
              <w:pStyle w:val="2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其中，“一地创新全市共享”的独立开发应用数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区县独立开发（含市级应用试点区县独立开发），进入区县应用“一本账”且通过“一地创新、全市共享”审核流程的应用数量；一体化治理智治平台使用率由重点对象关注覆盖率、事件和任务按期办理完成率、核心业务数字化率构成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，分别占6分、8分、6分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；“一件事”应用数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上线数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进入区县应用“一本账”的应用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开发上线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〔指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在渝快政、渝快办上线</w:t>
            </w:r>
            <w:bookmarkStart w:id="0" w:name="_GoBack"/>
            <w:bookmarkEnd w:id="0"/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或已接入三级治理中心（非界面链接集成）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〕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的“一本账”区县应用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，各占 7.5分；区县城运中心贯通应用数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已接入区县数字化城市运行和治理中心并具备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非自闭环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真实事件流转的应用数量；区县城运中心事件处置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由专家评估组随机抽取每个区县城运中心100 个真实流转事件，进行打分评价并取平均值；数据归集贡献率由已归集数据量（类）占各区县平均归集数据量比例、数据编目合格率、数据治理合格率构成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各占5分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已归集数据量（类）占各区县平均归集数据量比例大于等于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计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5分、小于1大于等于0.5计3分、小于0.5计2分，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据编目合格率=已编目数据目录合格数占本区县数据编目总量的比例，数据治理合格率=经过数据治理合格的目录数量占本区县已归集目录数量的比例。单项指标得分=（区县实际值-指标最小值）/（指标最大值-指标最小值）*40+60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市政府办公厅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市大数据发展局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打赢国企改革攻坚战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评价区县国企止损减亏完成率、法人压减完成率2项内容，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按1：1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分配权重，总分100分。</w:t>
            </w:r>
          </w:p>
          <w:p>
            <w:pPr>
              <w:ind w:firstLine="420" w:firstLineChars="200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其中，国企止损减亏完成率=止损减亏企业户数/纳入目标责任书统计的亏损企业总户数，法人压减完成率=压减户数/纳入目标责任书统计的应压减企业总户数。总分=∑单项指标得分*权重。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改革落实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打赢园区开发区改革攻坚战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评价区县园区开发区规上工业企业营业收入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。园区开发区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规上工业企业营业收入完成率=实际完成营业收入/各区县签订目标责任书上设定的规上工业企业营业收入。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总分=园区开发区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规上工业企业营业收入完成率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*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市发展改革委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市经济信息委</w:t>
            </w:r>
          </w:p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打赢政企分离改革攻坚战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评价区县政企分离改革完成率、国有资产集中统一监管比例2项内容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，按1：1分配权重，总分100分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政企分离改革完成率=已完成政企分离改革国有企业（全级次）数量/须政企分离改革国有企业（全级次）总量，国有资产集中统一监管比例=已纳入集中统一监管国有企业（全级次）数量/国有企业（全级次）总量。总分=∑单项指标得分*权重。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市委办公厅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全力推动国有资产盘活取得重大成果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评价区县盘活存量国有资产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完成率、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存量国有资产盘活回收资金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2项内容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，按1：1分配权重，总分100分。</w:t>
            </w:r>
          </w:p>
          <w:p>
            <w:pPr>
              <w:pStyle w:val="2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其中，盘活存量国有资产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=区县已盘活存量国有资产价值/区县按照“三个一批”盘活原则确定的2024年存量国有资产盘活目标，存量国有资产盘活回收资金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完成率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=区县已盘活变现的回收资金/区县确定的全年存量国有资产盘活目标中实现变现的盘活回收资金。总分=∑单项指标得分*权重。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pStyle w:val="2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推进“大综合一体化”行政执法体制改革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综合行政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执法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被纠错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率。综合行政执法案件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被纠错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率=各区县综合行政执法案件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（含镇街）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经行政复议后被变更、撤销的案件数量（被申请行政复议后，裁决确认违法、撤销、变更的数量）/各区县综合行政执法案件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（含镇街）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总数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〔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具体指区县7支综合执法队伍（城市管理、市场监管、文化旅游、应急管理、农业农村、交通运输、生态环境）执法案件数量+乡镇街道综合执法案件数量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〕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，案件类型指行政处罚案件。总分=（1-综合行政执法案件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被纠错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率）*100。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76" w:type="dxa"/>
            <w:vAlign w:val="center"/>
          </w:tcPr>
          <w:p>
            <w:pPr>
              <w:pStyle w:val="2"/>
              <w:ind w:left="0" w:leftChars="0" w:firstLine="0" w:firstLineChars="0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改革落实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医改惠民</w:t>
            </w:r>
          </w:p>
        </w:tc>
        <w:tc>
          <w:tcPr>
            <w:tcW w:w="7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数字医学影像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检查结果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、居民规范化电子健康档案覆盖率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项内容，按1：1分配权重，总分100分。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center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其中，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数字医学影像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检查结果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=互认人次/相似检查人次（3个月内相似检查提醒量），经主动调阅且互认，分子及分母同步计入相应数，互认率≥30%得50分，25%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30%得40分，20%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互认率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25%得30分，互认率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20%得20分。居民规范化电子健康档案覆盖率=居民规范化电子健康档案覆盖人数/辖区内常住居民数，覆盖率≥64%得50分，60%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覆盖率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64%得40分，55%</w:t>
            </w:r>
            <w:r>
              <w:rPr>
                <w:rStyle w:val="6"/>
                <w:rFonts w:hint="eastAsia" w:ascii="东文宋体" w:hAnsi="东文宋体" w:eastAsia="东文宋体" w:cs="东文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≤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覆盖率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60%得30分，覆盖率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&lt;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55%得20分。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总分=∑单项指标得分。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改革探索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新增国家改革试点项目数</w:t>
            </w:r>
          </w:p>
        </w:tc>
        <w:tc>
          <w:tcPr>
            <w:tcW w:w="7001" w:type="dxa"/>
            <w:vAlign w:val="center"/>
          </w:tcPr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当年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新争取国家级改革试点项目数。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具体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包括：</w:t>
            </w:r>
          </w:p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①党中央、国务院或中办、国办批复部署。</w:t>
            </w:r>
          </w:p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②国家有关部委（含司局级）安排部署。</w:t>
            </w:r>
          </w:p>
          <w:p>
            <w:pPr>
              <w:pStyle w:val="2"/>
              <w:ind w:left="0" w:leftChars="0" w:firstLine="420" w:firstLineChars="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③全国人大常委会授权部署。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各区县、各试点主管部门（市委改革办负责审核）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/>
                <w:b/>
                <w:bCs/>
                <w:kern w:val="2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楷体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改革成效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改革经验获全国性肯定评价</w:t>
            </w: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次数</w:t>
            </w:r>
          </w:p>
        </w:tc>
        <w:tc>
          <w:tcPr>
            <w:tcW w:w="700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评价区县改革工作在国家层面获得肯定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数。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具体包括：</w:t>
            </w:r>
          </w:p>
          <w:p>
            <w:pPr>
              <w:ind w:firstLine="420" w:firstLineChars="20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①获党和国家领导人肯定性批示。</w:t>
            </w:r>
          </w:p>
          <w:p>
            <w:pP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②在党和国家领导人出席的全国性会议上作经验交流。</w:t>
            </w:r>
          </w:p>
          <w:p>
            <w:pP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③获党中央、国务院或中办、国办发文通报表彰。</w:t>
            </w:r>
          </w:p>
          <w:p>
            <w:pP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④在党中央、国务院或中办、国办、部委文件中得到肯定性表述。</w:t>
            </w:r>
          </w:p>
          <w:p>
            <w:pPr>
              <w:ind w:firstLine="420" w:firstLineChars="20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⑤在中央和国家有关部委主要领导出席的全国性会议上作经验交流。</w:t>
            </w:r>
          </w:p>
          <w:p>
            <w:pPr>
              <w:ind w:firstLine="420" w:firstLineChars="20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⑥中央和国家有关部委发文明确向全国复制推广。</w:t>
            </w:r>
          </w:p>
          <w:p>
            <w:pPr>
              <w:ind w:firstLine="420" w:firstLineChars="200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⑦中央改革办《改革情况交流》单篇刊载。</w:t>
            </w:r>
          </w:p>
          <w:p>
            <w:pPr>
              <w:pStyle w:val="2"/>
              <w:rPr>
                <w:rFonts w:hint="default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⑧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中办、国办印发的信息简报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季度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各区县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（市委改革办负责审核）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4062D"/>
    <w:rsid w:val="0C7A0A04"/>
    <w:rsid w:val="1DA5CB93"/>
    <w:rsid w:val="25132B2F"/>
    <w:rsid w:val="2B7DE75C"/>
    <w:rsid w:val="2EB4062D"/>
    <w:rsid w:val="3BFCD23C"/>
    <w:rsid w:val="3D7F1B22"/>
    <w:rsid w:val="3DECE53D"/>
    <w:rsid w:val="3DF976AB"/>
    <w:rsid w:val="3F5D3C8E"/>
    <w:rsid w:val="3FCFBAE5"/>
    <w:rsid w:val="437BA8E6"/>
    <w:rsid w:val="5FDCEAD2"/>
    <w:rsid w:val="69DD9572"/>
    <w:rsid w:val="6CFEBDC1"/>
    <w:rsid w:val="6DBB37E5"/>
    <w:rsid w:val="73F73427"/>
    <w:rsid w:val="75EBEE3F"/>
    <w:rsid w:val="76D7D8FB"/>
    <w:rsid w:val="777FFF31"/>
    <w:rsid w:val="79BB82C9"/>
    <w:rsid w:val="79DF5456"/>
    <w:rsid w:val="79FEC04D"/>
    <w:rsid w:val="7BAEA8F6"/>
    <w:rsid w:val="7BB6D7A4"/>
    <w:rsid w:val="7BFDDC81"/>
    <w:rsid w:val="7CBBBB3C"/>
    <w:rsid w:val="7DBB1378"/>
    <w:rsid w:val="7DDD8AE4"/>
    <w:rsid w:val="7DF84501"/>
    <w:rsid w:val="7EF6A328"/>
    <w:rsid w:val="7EFC969B"/>
    <w:rsid w:val="7EFF08B2"/>
    <w:rsid w:val="7EFFBC54"/>
    <w:rsid w:val="7F74B3E5"/>
    <w:rsid w:val="7FFBD6DC"/>
    <w:rsid w:val="7FFD301B"/>
    <w:rsid w:val="96F7F656"/>
    <w:rsid w:val="A37E4FEB"/>
    <w:rsid w:val="B6DBB9C3"/>
    <w:rsid w:val="B77FD9B9"/>
    <w:rsid w:val="BF4B83DD"/>
    <w:rsid w:val="BFFE3B4A"/>
    <w:rsid w:val="DBFACAC9"/>
    <w:rsid w:val="DCF17918"/>
    <w:rsid w:val="DF7E2417"/>
    <w:rsid w:val="E1DB2018"/>
    <w:rsid w:val="E37F1F3B"/>
    <w:rsid w:val="EBCD0255"/>
    <w:rsid w:val="EFFAEFFB"/>
    <w:rsid w:val="F3DE6219"/>
    <w:rsid w:val="F5FC9602"/>
    <w:rsid w:val="F6EDE051"/>
    <w:rsid w:val="F77F0E70"/>
    <w:rsid w:val="F9A5657B"/>
    <w:rsid w:val="FADFBF9A"/>
    <w:rsid w:val="FB7779DD"/>
    <w:rsid w:val="FBBF9D4A"/>
    <w:rsid w:val="FBFF8004"/>
    <w:rsid w:val="FDD1D365"/>
    <w:rsid w:val="FDEF4CC0"/>
    <w:rsid w:val="FEDE3256"/>
    <w:rsid w:val="FFCFB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2024-02-25T08:12:00Z</dcterms:created>
  <dc:creator>李超杰</dc:creator>
  <cp:lastModifiedBy>user</cp:lastModifiedBy>
  <cp:lastPrinted>2024-03-29T11:10:18Z</cp:lastPrinted>
  <dcterms:modified xsi:type="dcterms:W3CDTF">2024-03-29T11:22:19Z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62681DF96C1A2CC08C1BD365A9A64B97</vt:lpwstr>
  </property>
</Properties>
</file>