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p>
    <w:p>
      <w:pPr>
        <w:adjustRightInd w:val="0"/>
        <w:snapToGrid w:val="0"/>
        <w:jc w:val="center"/>
        <w:outlineLvl w:val="0"/>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改 革 报 表</w:t>
      </w:r>
      <w:r>
        <w:rPr>
          <w:rFonts w:hint="eastAsia" w:ascii="方正小标宋_GBK" w:hAnsi="方正小标宋_GBK" w:eastAsia="方正小标宋_GBK" w:cs="方正小标宋_GBK"/>
          <w:b w:val="0"/>
          <w:bCs w:val="0"/>
          <w:color w:val="auto"/>
          <w:sz w:val="44"/>
          <w:szCs w:val="44"/>
          <w:highlight w:val="none"/>
          <w:lang w:eastAsia="zh-CN"/>
        </w:rPr>
        <w:t>（</w:t>
      </w:r>
      <w:r>
        <w:rPr>
          <w:rFonts w:hint="default" w:ascii="Times New Roman" w:hAnsi="Times New Roman" w:eastAsia="方正小标宋_GBK" w:cs="Times New Roman"/>
          <w:b/>
          <w:bCs/>
          <w:color w:val="auto"/>
          <w:sz w:val="44"/>
          <w:szCs w:val="44"/>
          <w:highlight w:val="none"/>
          <w:lang w:eastAsia="zh-CN"/>
        </w:rPr>
        <w:t>202406</w:t>
      </w:r>
      <w:r>
        <w:rPr>
          <w:rFonts w:hint="eastAsia" w:ascii="方正小标宋_GBK" w:hAnsi="方正小标宋_GBK" w:eastAsia="方正小标宋_GBK" w:cs="方正小标宋_GBK"/>
          <w:b w:val="0"/>
          <w:bCs w:val="0"/>
          <w:color w:val="auto"/>
          <w:sz w:val="44"/>
          <w:szCs w:val="44"/>
          <w:highlight w:val="none"/>
          <w:lang w:eastAsia="zh-CN"/>
        </w:rPr>
        <w:t>版）</w:t>
      </w:r>
    </w:p>
    <w:p>
      <w:pPr>
        <w:pStyle w:val="2"/>
        <w:rPr>
          <w:rFonts w:hint="default"/>
          <w:color w:val="auto"/>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250"/>
        <w:gridCol w:w="1764"/>
        <w:gridCol w:w="7045"/>
        <w:gridCol w:w="88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99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outlineLvl w:val="9"/>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kern w:val="2"/>
                <w:sz w:val="28"/>
                <w:szCs w:val="28"/>
                <w:highlight w:val="none"/>
                <w:lang w:eastAsia="zh-CN" w:bidi="ar-SA"/>
              </w:rPr>
              <w:t>跑道</w:t>
            </w:r>
          </w:p>
        </w:tc>
        <w:tc>
          <w:tcPr>
            <w:tcW w:w="1250" w:type="dxa"/>
            <w:noWrap w:val="0"/>
            <w:vAlign w:val="center"/>
          </w:tcPr>
          <w:p>
            <w:pPr>
              <w:adjustRightInd w:val="0"/>
              <w:snapToGrid w:val="0"/>
              <w:spacing w:line="28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牵头</w:t>
            </w:r>
          </w:p>
          <w:p>
            <w:pPr>
              <w:adjustRightInd w:val="0"/>
              <w:snapToGrid w:val="0"/>
              <w:spacing w:line="28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部门</w:t>
            </w:r>
          </w:p>
        </w:tc>
        <w:tc>
          <w:tcPr>
            <w:tcW w:w="1764" w:type="dxa"/>
            <w:noWrap w:val="0"/>
            <w:vAlign w:val="center"/>
          </w:tcPr>
          <w:p>
            <w:pPr>
              <w:adjustRightInd w:val="0"/>
              <w:snapToGrid w:val="0"/>
              <w:spacing w:line="28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指标</w:t>
            </w:r>
          </w:p>
        </w:tc>
        <w:tc>
          <w:tcPr>
            <w:tcW w:w="7045" w:type="dxa"/>
            <w:noWrap w:val="0"/>
            <w:vAlign w:val="center"/>
          </w:tcPr>
          <w:p>
            <w:pPr>
              <w:widowControl/>
              <w:adjustRightInd w:val="0"/>
              <w:snapToGrid w:val="0"/>
              <w:spacing w:line="280" w:lineRule="exact"/>
              <w:jc w:val="center"/>
              <w:textAlignment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评价内容及细则</w:t>
            </w:r>
          </w:p>
        </w:tc>
        <w:tc>
          <w:tcPr>
            <w:tcW w:w="888" w:type="dxa"/>
            <w:noWrap w:val="0"/>
            <w:vAlign w:val="center"/>
          </w:tcPr>
          <w:p>
            <w:pPr>
              <w:widowControl/>
              <w:adjustRightInd w:val="0"/>
              <w:snapToGrid w:val="0"/>
              <w:spacing w:line="280" w:lineRule="exact"/>
              <w:jc w:val="center"/>
              <w:textAlignment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晾晒</w:t>
            </w:r>
          </w:p>
          <w:p>
            <w:pPr>
              <w:widowControl/>
              <w:adjustRightInd w:val="0"/>
              <w:snapToGrid w:val="0"/>
              <w:spacing w:line="280" w:lineRule="exact"/>
              <w:jc w:val="center"/>
              <w:textAlignment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周期</w:t>
            </w:r>
          </w:p>
        </w:tc>
        <w:tc>
          <w:tcPr>
            <w:tcW w:w="1521" w:type="dxa"/>
            <w:noWrap w:val="0"/>
            <w:vAlign w:val="center"/>
          </w:tcPr>
          <w:p>
            <w:pPr>
              <w:adjustRightInd w:val="0"/>
              <w:snapToGrid w:val="0"/>
              <w:spacing w:line="280" w:lineRule="exact"/>
              <w:jc w:val="center"/>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数源单位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9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Style w:val="10"/>
                <w:rFonts w:hint="default" w:ascii="Times New Roman" w:hAnsi="Times New Roman" w:eastAsia="方正楷体_GBK" w:cs="Times New Roman"/>
                <w:b/>
                <w:bCs/>
                <w:color w:val="auto"/>
                <w:sz w:val="28"/>
                <w:szCs w:val="28"/>
                <w:highlight w:val="none"/>
              </w:rPr>
            </w:pPr>
            <w:r>
              <w:rPr>
                <w:rStyle w:val="10"/>
                <w:rFonts w:hint="default" w:ascii="Times New Roman" w:hAnsi="Times New Roman" w:eastAsia="方正楷体_GBK" w:cs="Times New Roman"/>
                <w:b/>
                <w:bCs/>
                <w:color w:val="auto"/>
                <w:sz w:val="28"/>
                <w:szCs w:val="28"/>
                <w:highlight w:val="none"/>
                <w:u w:val="none"/>
                <w:lang w:eastAsia="zh-CN"/>
              </w:rPr>
              <w:t>数字重庆建设</w:t>
            </w:r>
          </w:p>
        </w:tc>
        <w:tc>
          <w:tcPr>
            <w:tcW w:w="12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olor w:val="auto"/>
                <w:kern w:val="0"/>
                <w:sz w:val="28"/>
                <w:szCs w:val="28"/>
                <w:highlight w:val="none"/>
              </w:rPr>
            </w:pPr>
            <w:r>
              <w:rPr>
                <w:rFonts w:hint="default" w:ascii="Times New Roman" w:hAnsi="Times New Roman" w:eastAsia="方正仿宋_GBK"/>
                <w:color w:val="auto"/>
                <w:kern w:val="0"/>
                <w:sz w:val="28"/>
                <w:szCs w:val="28"/>
                <w:highlight w:val="none"/>
              </w:rPr>
              <w:t>市三级治理中心专班</w:t>
            </w:r>
          </w:p>
        </w:tc>
        <w:tc>
          <w:tcPr>
            <w:tcW w:w="17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bCs/>
                <w:color w:val="auto"/>
                <w:kern w:val="0"/>
                <w:sz w:val="28"/>
                <w:szCs w:val="28"/>
                <w:highlight w:val="none"/>
              </w:rPr>
            </w:pPr>
            <w:r>
              <w:rPr>
                <w:rFonts w:hint="eastAsia" w:ascii="Times New Roman" w:hAnsi="Times New Roman" w:eastAsia="方正仿宋_GBK" w:cs="Times New Roman"/>
                <w:b/>
                <w:bCs/>
                <w:color w:val="auto"/>
                <w:kern w:val="0"/>
                <w:sz w:val="28"/>
                <w:szCs w:val="28"/>
                <w:highlight w:val="none"/>
                <w:lang w:val="en-US" w:eastAsia="zh-CN"/>
              </w:rPr>
              <w:t>8</w:t>
            </w:r>
            <w:r>
              <w:rPr>
                <w:rFonts w:hint="default" w:ascii="Times New Roman" w:hAnsi="Times New Roman" w:eastAsia="方正仿宋_GBK" w:cs="Times New Roman"/>
                <w:b/>
                <w:bCs/>
                <w:color w:val="auto"/>
                <w:kern w:val="0"/>
                <w:sz w:val="28"/>
                <w:szCs w:val="28"/>
                <w:highlight w:val="none"/>
              </w:rPr>
              <w:t>板块开发应用贯通区县覆盖率</w:t>
            </w:r>
          </w:p>
        </w:tc>
        <w:tc>
          <w:tcPr>
            <w:tcW w:w="7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评价区县</w:t>
            </w:r>
            <w:r>
              <w:rPr>
                <w:rFonts w:hint="eastAsia" w:ascii="Times New Roman" w:hAnsi="Times New Roman" w:eastAsia="方正仿宋_GBK" w:cs="Times New Roman"/>
                <w:color w:val="auto"/>
                <w:kern w:val="0"/>
                <w:sz w:val="28"/>
                <w:szCs w:val="28"/>
                <w:highlight w:val="none"/>
                <w:lang w:val="en-US" w:eastAsia="zh-CN"/>
              </w:rPr>
              <w:t>8</w:t>
            </w:r>
            <w:r>
              <w:rPr>
                <w:rFonts w:hint="default" w:ascii="Times New Roman" w:hAnsi="Times New Roman" w:eastAsia="方正仿宋_GBK" w:cs="Times New Roman"/>
                <w:color w:val="auto"/>
                <w:kern w:val="0"/>
                <w:sz w:val="28"/>
                <w:szCs w:val="28"/>
                <w:highlight w:val="none"/>
                <w:lang w:val="en-US" w:eastAsia="zh-CN"/>
              </w:rPr>
              <w:t>板块开发应用贯通区县覆盖率。</w:t>
            </w:r>
          </w:p>
          <w:p>
            <w:pPr>
              <w:keepNext w:val="0"/>
              <w:keepLines w:val="0"/>
              <w:pageBreakBefore w:val="0"/>
              <w:widowControl/>
              <w:kinsoku/>
              <w:wordWrap/>
              <w:overflowPunct/>
              <w:topLinePunct w:val="0"/>
              <w:autoSpaceDE/>
              <w:autoSpaceDN/>
              <w:bidi w:val="0"/>
              <w:adjustRightInd w:val="0"/>
              <w:snapToGrid w:val="0"/>
              <w:spacing w:line="300" w:lineRule="exact"/>
              <w:ind w:firstLine="560" w:firstLineChars="200"/>
              <w:jc w:val="both"/>
              <w:textAlignment w:val="center"/>
              <w:outlineLvl w:val="9"/>
              <w:rPr>
                <w:rStyle w:val="10"/>
                <w:rFonts w:hint="default" w:ascii="Times New Roman" w:hAnsi="Times New Roman" w:eastAsia="方正仿宋_GBK" w:cs="Times New Roman"/>
                <w:b/>
                <w:bCs/>
                <w:color w:val="auto"/>
                <w:sz w:val="28"/>
                <w:szCs w:val="28"/>
                <w:highlight w:val="none"/>
                <w:u w:val="none"/>
                <w:lang w:val="en-US" w:eastAsia="zh-CN"/>
              </w:rPr>
            </w:pPr>
            <w:r>
              <w:rPr>
                <w:rStyle w:val="10"/>
                <w:rFonts w:hint="eastAsia" w:ascii="Times New Roman" w:hAnsi="Times New Roman" w:eastAsia="方正仿宋_GBK" w:cs="Times New Roman"/>
                <w:b w:val="0"/>
                <w:bCs w:val="0"/>
                <w:color w:val="auto"/>
                <w:sz w:val="28"/>
                <w:szCs w:val="28"/>
                <w:highlight w:val="none"/>
                <w:u w:val="none"/>
                <w:lang w:val="en-US" w:eastAsia="zh-CN"/>
              </w:rPr>
              <w:t>8</w:t>
            </w:r>
            <w:r>
              <w:rPr>
                <w:rStyle w:val="10"/>
                <w:rFonts w:hint="default" w:ascii="Times New Roman" w:hAnsi="Times New Roman" w:eastAsia="方正仿宋_GBK" w:cs="Times New Roman"/>
                <w:b w:val="0"/>
                <w:bCs w:val="0"/>
                <w:color w:val="auto"/>
                <w:sz w:val="28"/>
                <w:szCs w:val="28"/>
                <w:highlight w:val="none"/>
                <w:u w:val="none"/>
                <w:lang w:val="en-US" w:eastAsia="zh-CN"/>
              </w:rPr>
              <w:t>板块开发应用贯通区县覆盖率=</w:t>
            </w:r>
            <w:r>
              <w:rPr>
                <w:rStyle w:val="10"/>
                <w:rFonts w:hint="default" w:ascii="Times New Roman" w:hAnsi="Times New Roman" w:eastAsia="方正仿宋_GBK" w:cs="Times New Roman"/>
                <w:b w:val="0"/>
                <w:bCs w:val="0"/>
                <w:color w:val="auto"/>
                <w:sz w:val="28"/>
                <w:szCs w:val="28"/>
                <w:highlight w:val="none"/>
                <w:u w:val="none"/>
                <w:lang w:eastAsia="zh-CN"/>
              </w:rPr>
              <w:t>各</w:t>
            </w:r>
            <w:r>
              <w:rPr>
                <w:rStyle w:val="10"/>
                <w:rFonts w:hint="default" w:ascii="Times New Roman" w:hAnsi="Times New Roman" w:eastAsia="方正仿宋_GBK" w:cs="Times New Roman"/>
                <w:b w:val="0"/>
                <w:bCs w:val="0"/>
                <w:color w:val="auto"/>
                <w:sz w:val="28"/>
                <w:szCs w:val="28"/>
                <w:highlight w:val="none"/>
                <w:u w:val="none"/>
                <w:lang w:val="en-US" w:eastAsia="zh-CN"/>
              </w:rPr>
              <w:t>区县在</w:t>
            </w:r>
            <w:r>
              <w:rPr>
                <w:rStyle w:val="10"/>
                <w:rFonts w:hint="eastAsia" w:ascii="Times New Roman" w:hAnsi="Times New Roman" w:eastAsia="方正仿宋_GBK" w:cs="Times New Roman"/>
                <w:b w:val="0"/>
                <w:bCs w:val="0"/>
                <w:color w:val="auto"/>
                <w:sz w:val="28"/>
                <w:szCs w:val="28"/>
                <w:highlight w:val="none"/>
                <w:u w:val="none"/>
                <w:lang w:val="en-US" w:eastAsia="zh-CN"/>
              </w:rPr>
              <w:t>8</w:t>
            </w:r>
            <w:bookmarkStart w:id="0" w:name="_GoBack"/>
            <w:bookmarkEnd w:id="0"/>
            <w:r>
              <w:rPr>
                <w:rStyle w:val="10"/>
                <w:rFonts w:hint="default" w:ascii="Times New Roman" w:hAnsi="Times New Roman" w:eastAsia="方正仿宋_GBK" w:cs="Times New Roman"/>
                <w:b w:val="0"/>
                <w:bCs w:val="0"/>
                <w:color w:val="auto"/>
                <w:sz w:val="28"/>
                <w:szCs w:val="28"/>
                <w:highlight w:val="none"/>
                <w:u w:val="none"/>
                <w:lang w:val="en-US" w:eastAsia="zh-CN"/>
              </w:rPr>
              <w:t>板块贯通应用数÷</w:t>
            </w:r>
            <w:r>
              <w:rPr>
                <w:rStyle w:val="10"/>
                <w:rFonts w:hint="eastAsia" w:ascii="Times New Roman" w:hAnsi="Times New Roman" w:eastAsia="方正仿宋_GBK" w:cs="Times New Roman"/>
                <w:b w:val="0"/>
                <w:bCs w:val="0"/>
                <w:color w:val="auto"/>
                <w:sz w:val="28"/>
                <w:szCs w:val="28"/>
                <w:highlight w:val="none"/>
                <w:u w:val="none"/>
                <w:lang w:val="en-US" w:eastAsia="zh-CN"/>
              </w:rPr>
              <w:t>8</w:t>
            </w:r>
            <w:r>
              <w:rPr>
                <w:rStyle w:val="10"/>
                <w:rFonts w:hint="default" w:ascii="Times New Roman" w:hAnsi="Times New Roman" w:eastAsia="方正仿宋_GBK" w:cs="Times New Roman"/>
                <w:b w:val="0"/>
                <w:bCs w:val="0"/>
                <w:color w:val="auto"/>
                <w:sz w:val="28"/>
                <w:szCs w:val="28"/>
                <w:highlight w:val="none"/>
                <w:u w:val="none"/>
                <w:lang w:val="en-US" w:eastAsia="zh-CN"/>
              </w:rPr>
              <w:t>板块贯通到全市各区县的应用总数。</w:t>
            </w:r>
          </w:p>
        </w:tc>
        <w:tc>
          <w:tcPr>
            <w:tcW w:w="88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olor w:val="auto"/>
                <w:sz w:val="28"/>
                <w:szCs w:val="28"/>
                <w:highlight w:val="none"/>
              </w:rPr>
            </w:pPr>
            <w:r>
              <w:rPr>
                <w:rFonts w:hint="default" w:ascii="Times New Roman" w:hAnsi="Times New Roman" w:eastAsia="方正仿宋_GBK"/>
                <w:color w:val="auto"/>
                <w:sz w:val="28"/>
                <w:szCs w:val="28"/>
                <w:highlight w:val="none"/>
              </w:rPr>
              <w:t>季度</w:t>
            </w:r>
          </w:p>
        </w:tc>
        <w:tc>
          <w:tcPr>
            <w:tcW w:w="152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olor w:val="auto"/>
                <w:kern w:val="0"/>
                <w:sz w:val="28"/>
                <w:szCs w:val="28"/>
                <w:highlight w:val="none"/>
              </w:rPr>
            </w:pPr>
            <w:r>
              <w:rPr>
                <w:rFonts w:hint="default" w:ascii="Times New Roman" w:hAnsi="Times New Roman" w:eastAsia="方正仿宋_GBK"/>
                <w:color w:val="auto"/>
                <w:kern w:val="0"/>
                <w:sz w:val="28"/>
                <w:szCs w:val="28"/>
                <w:highlight w:val="none"/>
              </w:rPr>
              <w:t>市大数据发展局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99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Style w:val="10"/>
                <w:rFonts w:hint="default" w:ascii="Times New Roman" w:hAnsi="Times New Roman" w:eastAsia="方正楷体_GBK" w:cs="Times New Roman"/>
                <w:b/>
                <w:bCs/>
                <w:color w:val="auto"/>
                <w:sz w:val="28"/>
                <w:szCs w:val="28"/>
                <w:highlight w:val="none"/>
              </w:rPr>
            </w:pPr>
          </w:p>
        </w:tc>
        <w:tc>
          <w:tcPr>
            <w:tcW w:w="12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olor w:val="auto"/>
                <w:kern w:val="0"/>
                <w:sz w:val="28"/>
                <w:szCs w:val="28"/>
                <w:highlight w:val="none"/>
              </w:rPr>
            </w:pPr>
            <w:r>
              <w:rPr>
                <w:rFonts w:hint="default" w:ascii="Times New Roman" w:hAnsi="Times New Roman" w:eastAsia="方正仿宋_GBK"/>
                <w:color w:val="auto"/>
                <w:kern w:val="0"/>
                <w:sz w:val="28"/>
                <w:szCs w:val="28"/>
                <w:highlight w:val="none"/>
              </w:rPr>
              <w:t>6个专题组</w:t>
            </w:r>
          </w:p>
        </w:tc>
        <w:tc>
          <w:tcPr>
            <w:tcW w:w="17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6个专题组开发应用贯通区县覆盖率</w:t>
            </w:r>
          </w:p>
        </w:tc>
        <w:tc>
          <w:tcPr>
            <w:tcW w:w="7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评价区县6</w:t>
            </w:r>
            <w:r>
              <w:rPr>
                <w:rFonts w:hint="default" w:ascii="Times New Roman" w:hAnsi="Times New Roman" w:eastAsia="方正仿宋_GBK" w:cs="Times New Roman"/>
                <w:color w:val="auto"/>
                <w:kern w:val="0"/>
                <w:sz w:val="28"/>
                <w:szCs w:val="28"/>
                <w:highlight w:val="none"/>
                <w:lang w:eastAsia="zh-CN"/>
              </w:rPr>
              <w:t>个</w:t>
            </w:r>
            <w:r>
              <w:rPr>
                <w:rFonts w:hint="default" w:ascii="Times New Roman" w:hAnsi="Times New Roman" w:eastAsia="方正仿宋_GBK" w:cs="Times New Roman"/>
                <w:color w:val="auto"/>
                <w:kern w:val="0"/>
                <w:sz w:val="28"/>
                <w:szCs w:val="28"/>
                <w:highlight w:val="none"/>
                <w:lang w:val="en-US" w:eastAsia="zh-CN"/>
              </w:rPr>
              <w:t>专题组开发应用贯通区县覆盖率。</w:t>
            </w:r>
          </w:p>
          <w:p>
            <w:pPr>
              <w:keepNext w:val="0"/>
              <w:keepLines w:val="0"/>
              <w:pageBreakBefore w:val="0"/>
              <w:widowControl/>
              <w:kinsoku/>
              <w:wordWrap/>
              <w:overflowPunct/>
              <w:topLinePunct w:val="0"/>
              <w:autoSpaceDE/>
              <w:autoSpaceDN/>
              <w:bidi w:val="0"/>
              <w:adjustRightInd w:val="0"/>
              <w:snapToGrid w:val="0"/>
              <w:spacing w:line="300" w:lineRule="exact"/>
              <w:ind w:firstLine="560" w:firstLineChars="200"/>
              <w:jc w:val="both"/>
              <w:textAlignment w:val="center"/>
              <w:outlineLvl w:val="9"/>
              <w:rPr>
                <w:rStyle w:val="10"/>
                <w:rFonts w:hint="default" w:ascii="Times New Roman" w:hAnsi="Times New Roman" w:eastAsia="方正仿宋_GBK" w:cs="Times New Roman"/>
                <w:b/>
                <w:bCs/>
                <w:color w:val="auto"/>
                <w:sz w:val="28"/>
                <w:szCs w:val="28"/>
                <w:highlight w:val="none"/>
                <w:u w:val="none"/>
                <w:lang w:val="en-US" w:eastAsia="zh-CN"/>
              </w:rPr>
            </w:pPr>
            <w:r>
              <w:rPr>
                <w:rStyle w:val="10"/>
                <w:rFonts w:hint="default" w:ascii="Times New Roman" w:hAnsi="Times New Roman" w:eastAsia="方正仿宋_GBK" w:cs="Times New Roman"/>
                <w:b w:val="0"/>
                <w:bCs w:val="0"/>
                <w:color w:val="auto"/>
                <w:sz w:val="28"/>
                <w:szCs w:val="28"/>
                <w:highlight w:val="none"/>
                <w:u w:val="none"/>
                <w:lang w:val="en-US" w:eastAsia="zh-CN"/>
              </w:rPr>
              <w:t>6</w:t>
            </w:r>
            <w:r>
              <w:rPr>
                <w:rStyle w:val="10"/>
                <w:rFonts w:hint="default" w:ascii="Times New Roman" w:hAnsi="Times New Roman" w:eastAsia="方正仿宋_GBK" w:cs="Times New Roman"/>
                <w:b w:val="0"/>
                <w:bCs w:val="0"/>
                <w:color w:val="auto"/>
                <w:sz w:val="28"/>
                <w:szCs w:val="28"/>
                <w:highlight w:val="none"/>
                <w:u w:val="none"/>
                <w:lang w:eastAsia="zh-CN"/>
              </w:rPr>
              <w:t>个</w:t>
            </w:r>
            <w:r>
              <w:rPr>
                <w:rStyle w:val="10"/>
                <w:rFonts w:hint="default" w:ascii="Times New Roman" w:hAnsi="Times New Roman" w:eastAsia="方正仿宋_GBK" w:cs="Times New Roman"/>
                <w:b w:val="0"/>
                <w:bCs w:val="0"/>
                <w:color w:val="auto"/>
                <w:sz w:val="28"/>
                <w:szCs w:val="28"/>
                <w:highlight w:val="none"/>
                <w:u w:val="none"/>
                <w:lang w:val="en-US" w:eastAsia="zh-CN"/>
              </w:rPr>
              <w:t>专题组开发应用贯通区县覆盖率=</w:t>
            </w:r>
            <w:r>
              <w:rPr>
                <w:rStyle w:val="10"/>
                <w:rFonts w:hint="default" w:ascii="Times New Roman" w:hAnsi="Times New Roman" w:eastAsia="方正仿宋_GBK" w:cs="Times New Roman"/>
                <w:b w:val="0"/>
                <w:bCs w:val="0"/>
                <w:color w:val="auto"/>
                <w:sz w:val="28"/>
                <w:szCs w:val="28"/>
                <w:highlight w:val="none"/>
                <w:u w:val="none"/>
                <w:lang w:eastAsia="zh-CN"/>
              </w:rPr>
              <w:t>各</w:t>
            </w:r>
            <w:r>
              <w:rPr>
                <w:rStyle w:val="10"/>
                <w:rFonts w:hint="default" w:ascii="Times New Roman" w:hAnsi="Times New Roman" w:eastAsia="方正仿宋_GBK" w:cs="Times New Roman"/>
                <w:b w:val="0"/>
                <w:bCs w:val="0"/>
                <w:color w:val="auto"/>
                <w:sz w:val="28"/>
                <w:szCs w:val="28"/>
                <w:highlight w:val="none"/>
                <w:u w:val="none"/>
                <w:lang w:val="en-US" w:eastAsia="zh-CN"/>
              </w:rPr>
              <w:t>区县承接6</w:t>
            </w:r>
            <w:r>
              <w:rPr>
                <w:rStyle w:val="10"/>
                <w:rFonts w:hint="default" w:ascii="Times New Roman" w:hAnsi="Times New Roman" w:eastAsia="方正仿宋_GBK" w:cs="Times New Roman"/>
                <w:b w:val="0"/>
                <w:bCs w:val="0"/>
                <w:color w:val="auto"/>
                <w:sz w:val="28"/>
                <w:szCs w:val="28"/>
                <w:highlight w:val="none"/>
                <w:u w:val="none"/>
                <w:lang w:eastAsia="zh-CN"/>
              </w:rPr>
              <w:t>个</w:t>
            </w:r>
            <w:r>
              <w:rPr>
                <w:rStyle w:val="10"/>
                <w:rFonts w:hint="default" w:ascii="Times New Roman" w:hAnsi="Times New Roman" w:eastAsia="方正仿宋_GBK" w:cs="Times New Roman"/>
                <w:b w:val="0"/>
                <w:bCs w:val="0"/>
                <w:color w:val="auto"/>
                <w:sz w:val="28"/>
                <w:szCs w:val="28"/>
                <w:highlight w:val="none"/>
                <w:u w:val="none"/>
                <w:lang w:val="en-US" w:eastAsia="zh-CN"/>
              </w:rPr>
              <w:t>专题组贯通应用数÷6</w:t>
            </w:r>
            <w:r>
              <w:rPr>
                <w:rStyle w:val="10"/>
                <w:rFonts w:hint="default" w:ascii="Times New Roman" w:hAnsi="Times New Roman" w:eastAsia="方正仿宋_GBK" w:cs="Times New Roman"/>
                <w:b w:val="0"/>
                <w:bCs w:val="0"/>
                <w:color w:val="auto"/>
                <w:sz w:val="28"/>
                <w:szCs w:val="28"/>
                <w:highlight w:val="none"/>
                <w:u w:val="none"/>
                <w:lang w:eastAsia="zh-CN"/>
              </w:rPr>
              <w:t>个</w:t>
            </w:r>
            <w:r>
              <w:rPr>
                <w:rStyle w:val="10"/>
                <w:rFonts w:hint="default" w:ascii="Times New Roman" w:hAnsi="Times New Roman" w:eastAsia="方正仿宋_GBK" w:cs="Times New Roman"/>
                <w:b w:val="0"/>
                <w:bCs w:val="0"/>
                <w:color w:val="auto"/>
                <w:sz w:val="28"/>
                <w:szCs w:val="28"/>
                <w:highlight w:val="none"/>
                <w:u w:val="none"/>
                <w:lang w:val="en-US" w:eastAsia="zh-CN"/>
              </w:rPr>
              <w:t>专题组贯通到全市各区县的应用总数。</w:t>
            </w:r>
          </w:p>
        </w:tc>
        <w:tc>
          <w:tcPr>
            <w:tcW w:w="88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olor w:val="auto"/>
                <w:sz w:val="28"/>
                <w:szCs w:val="28"/>
                <w:highlight w:val="none"/>
              </w:rPr>
            </w:pPr>
            <w:r>
              <w:rPr>
                <w:rFonts w:hint="default" w:ascii="Times New Roman" w:hAnsi="Times New Roman" w:eastAsia="方正仿宋_GBK"/>
                <w:color w:val="auto"/>
                <w:sz w:val="28"/>
                <w:szCs w:val="28"/>
                <w:highlight w:val="none"/>
              </w:rPr>
              <w:t>季度</w:t>
            </w:r>
          </w:p>
        </w:tc>
        <w:tc>
          <w:tcPr>
            <w:tcW w:w="152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olor w:val="auto"/>
                <w:kern w:val="0"/>
                <w:sz w:val="28"/>
                <w:szCs w:val="28"/>
                <w:highlight w:val="none"/>
              </w:rPr>
            </w:pPr>
            <w:r>
              <w:rPr>
                <w:rFonts w:hint="default" w:ascii="Times New Roman" w:hAnsi="Times New Roman" w:eastAsia="方正仿宋_GBK"/>
                <w:color w:val="auto"/>
                <w:kern w:val="0"/>
                <w:sz w:val="28"/>
                <w:szCs w:val="28"/>
                <w:highlight w:val="none"/>
              </w:rPr>
              <w:t>市大数据发展局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99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Style w:val="10"/>
                <w:rFonts w:hint="default" w:ascii="Times New Roman" w:hAnsi="Times New Roman" w:eastAsia="方正楷体_GBK" w:cs="Times New Roman"/>
                <w:b/>
                <w:bCs/>
                <w:color w:val="auto"/>
                <w:sz w:val="28"/>
                <w:szCs w:val="28"/>
                <w:highlight w:val="none"/>
              </w:rPr>
            </w:pPr>
          </w:p>
        </w:tc>
        <w:tc>
          <w:tcPr>
            <w:tcW w:w="12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olor w:val="auto"/>
                <w:kern w:val="0"/>
                <w:sz w:val="28"/>
                <w:szCs w:val="28"/>
                <w:highlight w:val="none"/>
              </w:rPr>
            </w:pPr>
            <w:r>
              <w:rPr>
                <w:rFonts w:hint="default" w:ascii="Times New Roman" w:hAnsi="Times New Roman" w:eastAsia="方正仿宋_GBK"/>
                <w:color w:val="auto"/>
                <w:kern w:val="0"/>
                <w:sz w:val="28"/>
                <w:szCs w:val="28"/>
                <w:highlight w:val="none"/>
              </w:rPr>
              <w:t>基层智治专题组</w:t>
            </w:r>
          </w:p>
        </w:tc>
        <w:tc>
          <w:tcPr>
            <w:tcW w:w="17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基层智治平台贯通应用任务事项按期完成率</w:t>
            </w:r>
          </w:p>
        </w:tc>
        <w:tc>
          <w:tcPr>
            <w:tcW w:w="7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评价区县基层智治平台任务按时完成率。</w:t>
            </w:r>
          </w:p>
          <w:p>
            <w:pPr>
              <w:keepNext w:val="0"/>
              <w:keepLines w:val="0"/>
              <w:pageBreakBefore w:val="0"/>
              <w:widowControl/>
              <w:kinsoku/>
              <w:wordWrap/>
              <w:overflowPunct/>
              <w:topLinePunct w:val="0"/>
              <w:autoSpaceDE/>
              <w:autoSpaceDN/>
              <w:bidi w:val="0"/>
              <w:adjustRightInd w:val="0"/>
              <w:snapToGrid w:val="0"/>
              <w:spacing w:line="300" w:lineRule="exact"/>
              <w:ind w:firstLine="560" w:firstLineChars="200"/>
              <w:jc w:val="both"/>
              <w:textAlignment w:val="center"/>
              <w:outlineLvl w:val="9"/>
              <w:rPr>
                <w:rStyle w:val="10"/>
                <w:rFonts w:hint="default" w:ascii="Times New Roman" w:hAnsi="Times New Roman" w:eastAsia="方正仿宋_GBK" w:cs="Times New Roman"/>
                <w:b/>
                <w:bCs/>
                <w:color w:val="auto"/>
                <w:sz w:val="28"/>
                <w:szCs w:val="28"/>
                <w:highlight w:val="none"/>
                <w:u w:val="none"/>
                <w:lang w:val="en-US" w:eastAsia="zh-CN"/>
              </w:rPr>
            </w:pPr>
            <w:r>
              <w:rPr>
                <w:rStyle w:val="10"/>
                <w:rFonts w:hint="default" w:ascii="Times New Roman" w:hAnsi="Times New Roman" w:eastAsia="方正仿宋_GBK" w:cs="Times New Roman"/>
                <w:b w:val="0"/>
                <w:bCs w:val="0"/>
                <w:color w:val="auto"/>
                <w:sz w:val="28"/>
                <w:szCs w:val="28"/>
                <w:highlight w:val="none"/>
                <w:u w:val="none"/>
                <w:lang w:val="en-US" w:eastAsia="zh-CN"/>
              </w:rPr>
              <w:t>基层智治平台贯通应用任务事项按期完成率=贯通应用任务事项按期完成数÷区县所辖镇街贯通应用任务事项总数。</w:t>
            </w:r>
          </w:p>
        </w:tc>
        <w:tc>
          <w:tcPr>
            <w:tcW w:w="88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olor w:val="auto"/>
                <w:sz w:val="28"/>
                <w:szCs w:val="28"/>
                <w:highlight w:val="none"/>
              </w:rPr>
            </w:pPr>
            <w:r>
              <w:rPr>
                <w:rFonts w:hint="default" w:ascii="Times New Roman" w:hAnsi="Times New Roman" w:eastAsia="方正仿宋_GBK"/>
                <w:color w:val="auto"/>
                <w:sz w:val="28"/>
                <w:szCs w:val="28"/>
                <w:highlight w:val="none"/>
              </w:rPr>
              <w:t>季度</w:t>
            </w:r>
          </w:p>
        </w:tc>
        <w:tc>
          <w:tcPr>
            <w:tcW w:w="152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olor w:val="auto"/>
                <w:kern w:val="0"/>
                <w:sz w:val="28"/>
                <w:szCs w:val="28"/>
                <w:highlight w:val="none"/>
              </w:rPr>
            </w:pPr>
            <w:r>
              <w:rPr>
                <w:rFonts w:hint="default" w:ascii="Times New Roman" w:hAnsi="Times New Roman" w:eastAsia="方正仿宋_GBK"/>
                <w:color w:val="auto"/>
                <w:kern w:val="0"/>
                <w:sz w:val="28"/>
                <w:szCs w:val="28"/>
                <w:highlight w:val="none"/>
              </w:rPr>
              <w:t>基层智治专题组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9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楷体_GBK" w:cs="Times New Roman"/>
                <w:b/>
                <w:bCs/>
                <w:color w:val="auto"/>
                <w:sz w:val="28"/>
                <w:szCs w:val="28"/>
                <w:highlight w:val="none"/>
              </w:rPr>
            </w:pPr>
            <w:r>
              <w:rPr>
                <w:rStyle w:val="10"/>
                <w:rFonts w:hint="default" w:ascii="Times New Roman" w:hAnsi="Times New Roman" w:eastAsia="方正楷体_GBK" w:cs="Times New Roman"/>
                <w:b/>
                <w:bCs/>
                <w:color w:val="auto"/>
                <w:sz w:val="28"/>
                <w:szCs w:val="28"/>
                <w:highlight w:val="none"/>
              </w:rPr>
              <w:t>超大城市治理</w:t>
            </w:r>
          </w:p>
        </w:tc>
        <w:tc>
          <w:tcPr>
            <w:tcW w:w="12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val="0"/>
                <w:bCs w:val="0"/>
                <w:color w:val="auto"/>
                <w:kern w:val="0"/>
                <w:sz w:val="28"/>
                <w:szCs w:val="28"/>
                <w:highlight w:val="none"/>
              </w:rPr>
            </w:pPr>
            <w:r>
              <w:rPr>
                <w:rFonts w:hint="default" w:ascii="Times New Roman" w:hAnsi="Times New Roman" w:eastAsia="方正仿宋_GBK"/>
                <w:color w:val="auto"/>
                <w:kern w:val="0"/>
                <w:sz w:val="28"/>
                <w:szCs w:val="28"/>
                <w:highlight w:val="none"/>
              </w:rPr>
              <w:t>市司法局</w:t>
            </w:r>
          </w:p>
        </w:tc>
        <w:tc>
          <w:tcPr>
            <w:tcW w:w="17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bCs/>
                <w:color w:val="auto"/>
                <w:kern w:val="0"/>
                <w:sz w:val="28"/>
                <w:szCs w:val="28"/>
                <w:highlight w:val="none"/>
              </w:rPr>
            </w:pPr>
            <w:r>
              <w:rPr>
                <w:rFonts w:hint="eastAsia" w:ascii="方正仿宋_GBK" w:hAnsi="方正仿宋_GBK" w:eastAsia="方正仿宋_GBK" w:cs="方正仿宋_GBK"/>
                <w:b/>
                <w:bCs/>
                <w:color w:val="auto"/>
                <w:kern w:val="0"/>
                <w:sz w:val="28"/>
                <w:szCs w:val="28"/>
                <w:highlight w:val="none"/>
              </w:rPr>
              <w:t>“大综合一体化”</w:t>
            </w:r>
            <w:r>
              <w:rPr>
                <w:rFonts w:hint="default" w:ascii="Times New Roman" w:hAnsi="Times New Roman" w:eastAsia="方正仿宋_GBK" w:cs="Times New Roman"/>
                <w:b/>
                <w:bCs/>
                <w:color w:val="auto"/>
                <w:kern w:val="0"/>
                <w:sz w:val="28"/>
                <w:szCs w:val="28"/>
                <w:highlight w:val="none"/>
              </w:rPr>
              <w:t>综合行政执法事项数</w:t>
            </w:r>
          </w:p>
        </w:tc>
        <w:tc>
          <w:tcPr>
            <w:tcW w:w="704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560" w:firstLineChars="200"/>
              <w:jc w:val="both"/>
              <w:textAlignment w:val="center"/>
              <w:outlineLvl w:val="9"/>
              <w:rPr>
                <w:rFonts w:hint="default" w:ascii="Times New Roman" w:hAnsi="Times New Roman" w:eastAsia="方正仿宋_GBK" w:cs="Times New Roman"/>
                <w:b w:val="0"/>
                <w:bCs w:val="0"/>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评价区县</w:t>
            </w:r>
            <w:r>
              <w:rPr>
                <w:rFonts w:hint="eastAsia" w:ascii="方正仿宋_GBK" w:hAnsi="方正仿宋_GBK" w:eastAsia="方正仿宋_GBK" w:cs="方正仿宋_GBK"/>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lang w:val="en-US" w:eastAsia="zh-CN"/>
              </w:rPr>
              <w:t>大综合一体化</w:t>
            </w:r>
            <w:r>
              <w:rPr>
                <w:rFonts w:hint="default" w:ascii="方正仿宋_GBK" w:hAnsi="方正仿宋_GBK" w:eastAsia="方正仿宋_GBK" w:cs="方正仿宋_GBK"/>
                <w:color w:val="auto"/>
                <w:kern w:val="0"/>
                <w:sz w:val="28"/>
                <w:szCs w:val="28"/>
                <w:highlight w:val="none"/>
                <w:lang w:eastAsia="zh-CN"/>
              </w:rPr>
              <w:t>”</w:t>
            </w:r>
            <w:r>
              <w:rPr>
                <w:rFonts w:hint="default" w:ascii="Times New Roman" w:hAnsi="Times New Roman" w:eastAsia="方正仿宋_GBK" w:cs="Times New Roman"/>
                <w:color w:val="auto"/>
                <w:kern w:val="0"/>
                <w:sz w:val="28"/>
                <w:szCs w:val="28"/>
                <w:highlight w:val="none"/>
                <w:lang w:val="en-US" w:eastAsia="zh-CN"/>
              </w:rPr>
              <w:t>综合行政执法事项数。</w:t>
            </w:r>
            <w:r>
              <w:rPr>
                <w:rFonts w:hint="eastAsia" w:ascii="Times New Roman" w:hAnsi="Times New Roman" w:eastAsia="方正仿宋_GBK" w:cs="Times New Roman"/>
                <w:color w:val="auto"/>
                <w:kern w:val="0"/>
                <w:sz w:val="28"/>
                <w:szCs w:val="28"/>
                <w:highlight w:val="none"/>
                <w:lang w:val="en-US" w:eastAsia="zh-CN"/>
              </w:rPr>
              <w:t>综合行政执法事项数达到行政执法事项总数的65%不扣分</w:t>
            </w:r>
            <w:r>
              <w:rPr>
                <w:rFonts w:hint="default" w:ascii="Times New Roman" w:hAnsi="Times New Roman" w:eastAsia="方正仿宋_GBK" w:cs="Times New Roman"/>
                <w:color w:val="auto"/>
                <w:kern w:val="0"/>
                <w:sz w:val="28"/>
                <w:szCs w:val="28"/>
                <w:highlight w:val="none"/>
                <w:lang w:eastAsia="zh-CN"/>
              </w:rPr>
              <w:t>。</w:t>
            </w:r>
          </w:p>
        </w:tc>
        <w:tc>
          <w:tcPr>
            <w:tcW w:w="88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olor w:val="auto"/>
                <w:sz w:val="28"/>
                <w:szCs w:val="28"/>
                <w:highlight w:val="none"/>
              </w:rPr>
              <w:t>季度</w:t>
            </w:r>
          </w:p>
        </w:tc>
        <w:tc>
          <w:tcPr>
            <w:tcW w:w="152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olor w:val="auto"/>
                <w:kern w:val="0"/>
                <w:sz w:val="28"/>
                <w:szCs w:val="28"/>
                <w:highlight w:val="none"/>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9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Style w:val="10"/>
                <w:rFonts w:hint="default" w:ascii="Times New Roman" w:hAnsi="Times New Roman" w:eastAsia="方正楷体_GBK" w:cs="Times New Roman"/>
                <w:b/>
                <w:bCs/>
                <w:color w:val="auto"/>
                <w:sz w:val="28"/>
                <w:szCs w:val="28"/>
                <w:highlight w:val="none"/>
                <w:u w:val="none"/>
                <w:lang w:eastAsia="zh-CN"/>
              </w:rPr>
            </w:pPr>
            <w:r>
              <w:rPr>
                <w:rStyle w:val="10"/>
                <w:rFonts w:hint="default" w:ascii="Times New Roman" w:hAnsi="Times New Roman" w:eastAsia="方正楷体_GBK" w:cs="Times New Roman"/>
                <w:b/>
                <w:bCs/>
                <w:color w:val="auto"/>
                <w:sz w:val="28"/>
                <w:szCs w:val="28"/>
                <w:highlight w:val="none"/>
              </w:rPr>
              <w:t>三攻坚一盘活</w:t>
            </w:r>
          </w:p>
        </w:tc>
        <w:tc>
          <w:tcPr>
            <w:tcW w:w="12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val="0"/>
                <w:bCs w:val="0"/>
                <w:color w:val="auto"/>
                <w:kern w:val="0"/>
                <w:sz w:val="28"/>
                <w:szCs w:val="28"/>
                <w:highlight w:val="none"/>
              </w:rPr>
              <w:t>市国资委</w:t>
            </w:r>
          </w:p>
        </w:tc>
        <w:tc>
          <w:tcPr>
            <w:tcW w:w="17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国企止损治亏完成率</w:t>
            </w:r>
          </w:p>
        </w:tc>
        <w:tc>
          <w:tcPr>
            <w:tcW w:w="7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评价</w:t>
            </w:r>
            <w:r>
              <w:rPr>
                <w:rFonts w:hint="default" w:ascii="Times New Roman" w:hAnsi="Times New Roman" w:eastAsia="方正仿宋_GBK" w:cs="Times New Roman"/>
                <w:color w:val="auto"/>
                <w:kern w:val="0"/>
                <w:sz w:val="28"/>
                <w:szCs w:val="28"/>
                <w:highlight w:val="none"/>
                <w:lang w:eastAsia="zh-CN"/>
              </w:rPr>
              <w:t>区县</w:t>
            </w:r>
            <w:r>
              <w:rPr>
                <w:rFonts w:hint="default" w:ascii="Times New Roman" w:hAnsi="Times New Roman" w:eastAsia="方正仿宋_GBK" w:cs="Times New Roman"/>
                <w:color w:val="auto"/>
                <w:kern w:val="0"/>
                <w:sz w:val="28"/>
                <w:szCs w:val="28"/>
                <w:highlight w:val="none"/>
              </w:rPr>
              <w:t>国有企业止损治亏完成率。</w:t>
            </w:r>
          </w:p>
          <w:p>
            <w:pPr>
              <w:keepNext w:val="0"/>
              <w:keepLines w:val="0"/>
              <w:pageBreakBefore w:val="0"/>
              <w:widowControl/>
              <w:kinsoku/>
              <w:wordWrap/>
              <w:overflowPunct/>
              <w:topLinePunct w:val="0"/>
              <w:autoSpaceDE/>
              <w:autoSpaceDN/>
              <w:bidi w:val="0"/>
              <w:adjustRightInd w:val="0"/>
              <w:snapToGrid w:val="0"/>
              <w:spacing w:line="300" w:lineRule="exact"/>
              <w:ind w:firstLine="560" w:firstLineChars="200"/>
              <w:jc w:val="both"/>
              <w:textAlignment w:val="center"/>
              <w:outlineLvl w:val="9"/>
              <w:rPr>
                <w:rFonts w:hint="default" w:ascii="Times New Roman" w:hAnsi="Times New Roman" w:eastAsia="方正仿宋_GB2312" w:cs="Times New Roman"/>
                <w:color w:val="auto"/>
                <w:kern w:val="0"/>
                <w:sz w:val="28"/>
                <w:szCs w:val="28"/>
                <w:highlight w:val="none"/>
              </w:rPr>
            </w:pPr>
            <w:r>
              <w:rPr>
                <w:rFonts w:hint="default" w:ascii="Times New Roman" w:hAnsi="Times New Roman" w:eastAsia="方正仿宋_GBK" w:cs="Times New Roman"/>
                <w:b w:val="0"/>
                <w:bCs w:val="0"/>
                <w:color w:val="auto"/>
                <w:kern w:val="0"/>
                <w:sz w:val="28"/>
                <w:szCs w:val="28"/>
                <w:highlight w:val="none"/>
              </w:rPr>
              <w:t>国有企业止损治亏完成率=止损治亏企业户数÷各区县纳入目标责任书统计的亏损企业总户数。</w:t>
            </w:r>
          </w:p>
        </w:tc>
        <w:tc>
          <w:tcPr>
            <w:tcW w:w="88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季度</w:t>
            </w:r>
          </w:p>
        </w:tc>
        <w:tc>
          <w:tcPr>
            <w:tcW w:w="152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rPr>
              <w:t>市国资委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9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Style w:val="10"/>
                <w:rFonts w:hint="default" w:ascii="Times New Roman" w:hAnsi="Times New Roman" w:eastAsia="方正楷体_GBK" w:cs="Times New Roman"/>
                <w:b/>
                <w:bCs/>
                <w:color w:val="auto"/>
                <w:sz w:val="28"/>
                <w:szCs w:val="28"/>
                <w:highlight w:val="none"/>
                <w:u w:val="none"/>
                <w:lang w:eastAsia="zh-CN"/>
              </w:rPr>
            </w:pPr>
          </w:p>
        </w:tc>
        <w:tc>
          <w:tcPr>
            <w:tcW w:w="12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val="0"/>
                <w:bCs w:val="0"/>
                <w:color w:val="auto"/>
                <w:kern w:val="0"/>
                <w:sz w:val="28"/>
                <w:szCs w:val="28"/>
                <w:highlight w:val="none"/>
              </w:rPr>
            </w:pPr>
            <w:r>
              <w:rPr>
                <w:rFonts w:hint="default" w:ascii="Times New Roman" w:hAnsi="Times New Roman" w:eastAsia="方正仿宋_GBK"/>
                <w:color w:val="auto"/>
                <w:kern w:val="0"/>
                <w:sz w:val="28"/>
                <w:szCs w:val="28"/>
                <w:highlight w:val="none"/>
              </w:rPr>
              <w:t>市发展改革委</w:t>
            </w:r>
          </w:p>
        </w:tc>
        <w:tc>
          <w:tcPr>
            <w:tcW w:w="17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Style w:val="10"/>
                <w:rFonts w:hint="default" w:ascii="Times New Roman" w:hAnsi="Times New Roman" w:eastAsia="方正仿宋_GBK" w:cs="Times New Roman"/>
                <w:b/>
                <w:bCs/>
                <w:color w:val="auto"/>
                <w:sz w:val="28"/>
                <w:szCs w:val="28"/>
                <w:highlight w:val="none"/>
                <w:u w:val="none"/>
                <w:lang w:val="en-US" w:eastAsia="zh-CN"/>
              </w:rPr>
            </w:pPr>
            <w:r>
              <w:rPr>
                <w:rFonts w:hint="default" w:ascii="Times New Roman" w:hAnsi="Times New Roman" w:eastAsia="方正仿宋_GBK" w:cs="Times New Roman"/>
                <w:b/>
                <w:bCs/>
                <w:color w:val="auto"/>
                <w:kern w:val="0"/>
                <w:sz w:val="28"/>
                <w:szCs w:val="28"/>
                <w:highlight w:val="none"/>
              </w:rPr>
              <w:t>园区开发区规上工业企业营业收入完成率</w:t>
            </w:r>
          </w:p>
        </w:tc>
        <w:tc>
          <w:tcPr>
            <w:tcW w:w="7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评价</w:t>
            </w:r>
            <w:r>
              <w:rPr>
                <w:rFonts w:hint="default" w:ascii="Times New Roman" w:hAnsi="Times New Roman" w:eastAsia="方正仿宋_GBK" w:cs="Times New Roman"/>
                <w:color w:val="auto"/>
                <w:kern w:val="0"/>
                <w:sz w:val="28"/>
                <w:szCs w:val="28"/>
                <w:highlight w:val="none"/>
                <w:lang w:eastAsia="zh-CN"/>
              </w:rPr>
              <w:t>区县</w:t>
            </w:r>
            <w:r>
              <w:rPr>
                <w:rFonts w:hint="default" w:ascii="Times New Roman" w:hAnsi="Times New Roman" w:eastAsia="方正仿宋_GBK" w:cs="Times New Roman"/>
                <w:color w:val="auto"/>
                <w:kern w:val="0"/>
                <w:sz w:val="28"/>
                <w:szCs w:val="28"/>
                <w:highlight w:val="none"/>
                <w:lang w:val="en-US" w:eastAsia="zh-CN"/>
              </w:rPr>
              <w:t>园区开发区规上工业企业营业收入完成率</w:t>
            </w:r>
            <w:r>
              <w:rPr>
                <w:rFonts w:hint="default" w:ascii="Times New Roman" w:hAnsi="Times New Roman" w:eastAsia="方正仿宋_GBK" w:cs="Times New Roman"/>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560" w:firstLineChars="200"/>
              <w:jc w:val="both"/>
              <w:textAlignment w:val="auto"/>
              <w:outlineLvl w:val="9"/>
              <w:rPr>
                <w:rFonts w:hint="default" w:ascii="方正黑体_GBK" w:hAnsi="方正黑体_GBK" w:eastAsia="方正黑体_GBK" w:cs="方正黑体_GBK"/>
                <w:b w:val="0"/>
                <w:bCs w:val="0"/>
                <w:color w:val="auto"/>
                <w:kern w:val="0"/>
                <w:sz w:val="28"/>
                <w:szCs w:val="28"/>
                <w:highlight w:val="none"/>
                <w:lang w:eastAsia="zh-CN"/>
              </w:rPr>
            </w:pPr>
            <w:r>
              <w:rPr>
                <w:rFonts w:hint="default" w:ascii="Times New Roman" w:hAnsi="Times New Roman" w:eastAsia="方正仿宋_GBK" w:cs="Times New Roman"/>
                <w:color w:val="auto"/>
                <w:kern w:val="0"/>
                <w:sz w:val="28"/>
                <w:szCs w:val="28"/>
                <w:highlight w:val="none"/>
              </w:rPr>
              <w:t>园区开发区规上工业企业营业收入完成率=实际完成营业收入÷各区县签订目标责任书上设定的规上工业企业营业收入。</w:t>
            </w:r>
          </w:p>
        </w:tc>
        <w:tc>
          <w:tcPr>
            <w:tcW w:w="88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2312" w:cs="Times New Roman"/>
                <w:b/>
                <w:bCs/>
                <w:color w:val="auto"/>
                <w:sz w:val="28"/>
                <w:szCs w:val="28"/>
                <w:highlight w:val="none"/>
              </w:rPr>
            </w:pPr>
            <w:r>
              <w:rPr>
                <w:rFonts w:hint="default" w:ascii="Times New Roman" w:hAnsi="Times New Roman" w:eastAsia="方正仿宋_GBK" w:cs="Times New Roman"/>
                <w:color w:val="auto"/>
                <w:sz w:val="28"/>
                <w:szCs w:val="28"/>
                <w:highlight w:val="none"/>
              </w:rPr>
              <w:t>季度</w:t>
            </w:r>
          </w:p>
        </w:tc>
        <w:tc>
          <w:tcPr>
            <w:tcW w:w="152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市经济信息委</w:t>
            </w:r>
          </w:p>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K" w:cs="Times New Roman"/>
                <w:b w:val="0"/>
                <w:bCs w:val="0"/>
                <w:color w:val="auto"/>
                <w:kern w:val="0"/>
                <w:sz w:val="28"/>
                <w:szCs w:val="28"/>
                <w:highlight w:val="none"/>
              </w:rPr>
            </w:pPr>
            <w:r>
              <w:rPr>
                <w:rFonts w:hint="default" w:ascii="Times New Roman" w:hAnsi="Times New Roman" w:eastAsia="方正仿宋_GBK" w:cs="Times New Roman"/>
                <w:color w:val="auto"/>
                <w:sz w:val="28"/>
                <w:szCs w:val="28"/>
                <w:highlight w:val="none"/>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99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Style w:val="10"/>
                <w:rFonts w:hint="default" w:ascii="Times New Roman" w:hAnsi="Times New Roman" w:eastAsia="方正楷体_GBK" w:cs="Times New Roman"/>
                <w:b/>
                <w:bCs/>
                <w:color w:val="auto"/>
                <w:sz w:val="28"/>
                <w:szCs w:val="28"/>
                <w:highlight w:val="none"/>
                <w:u w:val="none"/>
                <w:lang w:eastAsia="zh-CN"/>
              </w:rPr>
            </w:pPr>
          </w:p>
        </w:tc>
        <w:tc>
          <w:tcPr>
            <w:tcW w:w="12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olor w:val="auto"/>
                <w:kern w:val="0"/>
                <w:sz w:val="28"/>
                <w:szCs w:val="28"/>
                <w:highlight w:val="none"/>
              </w:rPr>
              <w:t>市财政局</w:t>
            </w:r>
          </w:p>
        </w:tc>
        <w:tc>
          <w:tcPr>
            <w:tcW w:w="17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存量国有资产盘活回收资金完成率</w:t>
            </w:r>
          </w:p>
        </w:tc>
        <w:tc>
          <w:tcPr>
            <w:tcW w:w="70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560" w:firstLineChars="200"/>
              <w:jc w:val="both"/>
              <w:textAlignment w:val="auto"/>
              <w:outlineLvl w:val="9"/>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评价</w:t>
            </w:r>
            <w:r>
              <w:rPr>
                <w:rFonts w:hint="default" w:ascii="Times New Roman" w:hAnsi="Times New Roman" w:eastAsia="方正仿宋_GBK" w:cs="Times New Roman"/>
                <w:color w:val="auto"/>
                <w:kern w:val="0"/>
                <w:sz w:val="28"/>
                <w:szCs w:val="28"/>
                <w:highlight w:val="none"/>
                <w:lang w:eastAsia="zh-CN"/>
              </w:rPr>
              <w:t>区县</w:t>
            </w:r>
            <w:r>
              <w:rPr>
                <w:rFonts w:hint="default" w:ascii="Times New Roman" w:hAnsi="Times New Roman" w:eastAsia="方正仿宋_GBK" w:cs="Times New Roman"/>
                <w:color w:val="auto"/>
                <w:kern w:val="0"/>
                <w:sz w:val="28"/>
                <w:szCs w:val="28"/>
                <w:highlight w:val="none"/>
                <w:lang w:val="en-US" w:eastAsia="zh-CN"/>
              </w:rPr>
              <w:t>存量国有资产盘活回收资金完成率</w:t>
            </w:r>
            <w:r>
              <w:rPr>
                <w:rFonts w:hint="default" w:ascii="Times New Roman" w:hAnsi="Times New Roman" w:eastAsia="方正仿宋_GBK" w:cs="Times New Roman"/>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560" w:firstLineChars="200"/>
              <w:jc w:val="both"/>
              <w:textAlignment w:val="auto"/>
              <w:outlineLvl w:val="9"/>
              <w:rPr>
                <w:rFonts w:hint="default"/>
                <w:color w:val="auto"/>
                <w:sz w:val="28"/>
                <w:szCs w:val="28"/>
                <w:highlight w:val="none"/>
              </w:rPr>
            </w:pPr>
            <w:r>
              <w:rPr>
                <w:rFonts w:hint="default" w:ascii="Times New Roman" w:hAnsi="Times New Roman" w:eastAsia="方正仿宋_GBK" w:cs="Times New Roman"/>
                <w:color w:val="auto"/>
                <w:kern w:val="0"/>
                <w:sz w:val="28"/>
                <w:szCs w:val="28"/>
                <w:highlight w:val="none"/>
              </w:rPr>
              <w:t>存量国有资产盘活回收资金完成率=已盘活变现的回收资金÷各区县确定的全年存量国有资产盘活目标中实现变现的盘活回收资金。</w:t>
            </w:r>
          </w:p>
        </w:tc>
        <w:tc>
          <w:tcPr>
            <w:tcW w:w="888"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K" w:cs="Times New Roman"/>
                <w:b w:val="0"/>
                <w:bCs w:val="0"/>
                <w:color w:val="auto"/>
                <w:sz w:val="28"/>
                <w:szCs w:val="28"/>
                <w:highlight w:val="none"/>
              </w:rPr>
              <w:t>季度</w:t>
            </w:r>
          </w:p>
        </w:tc>
        <w:tc>
          <w:tcPr>
            <w:tcW w:w="152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outlineLvl w:val="9"/>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K" w:cs="Times New Roman"/>
                <w:color w:val="auto"/>
                <w:sz w:val="28"/>
                <w:szCs w:val="28"/>
                <w:highlight w:val="none"/>
              </w:rPr>
              <w:t>市财政局</w:t>
            </w:r>
          </w:p>
        </w:tc>
      </w:tr>
    </w:tbl>
    <w:p>
      <w:pPr>
        <w:adjustRightInd w:val="0"/>
        <w:snapToGrid w:val="0"/>
        <w:jc w:val="both"/>
        <w:outlineLvl w:val="0"/>
        <w:rPr>
          <w:rFonts w:hint="eastAsia"/>
          <w:color w:val="auto"/>
          <w:highlight w:val="none"/>
          <w:lang w:val="en-US" w:eastAsia="zh-CN"/>
        </w:rPr>
      </w:pPr>
    </w:p>
    <w:p>
      <w:pPr>
        <w:adjustRightInd w:val="0"/>
        <w:snapToGrid w:val="0"/>
        <w:ind w:firstLine="560" w:firstLineChars="200"/>
        <w:jc w:val="left"/>
        <w:outlineLvl w:val="0"/>
        <w:rPr>
          <w:rFonts w:hint="eastAsia" w:ascii="方正小标宋_GBK" w:hAnsi="方正小标宋_GBK" w:eastAsia="方正小标宋_GBK" w:cs="方正小标宋_GBK"/>
          <w:b/>
          <w:bCs/>
          <w:color w:val="auto"/>
          <w:sz w:val="44"/>
          <w:szCs w:val="44"/>
          <w:highlight w:val="none"/>
          <w:lang w:val="en-US" w:eastAsia="zh-CN"/>
        </w:rPr>
      </w:pPr>
      <w:r>
        <w:rPr>
          <w:rFonts w:hint="eastAsia" w:ascii="方正黑体_GBK" w:hAnsi="方正黑体_GBK" w:eastAsia="方正黑体_GBK" w:cs="方正黑体_GBK"/>
          <w:sz w:val="28"/>
          <w:szCs w:val="28"/>
          <w:u w:val="none"/>
          <w:lang w:eastAsia="zh-CN"/>
        </w:rPr>
        <w:t>注：各区县填报数据保证真实有效，一旦发现并查实数据弄虚作假，市委改革办和指标牵头单位将采取惩罚性措施。</w:t>
      </w:r>
    </w:p>
    <w:p>
      <w:pPr>
        <w:adjustRightInd w:val="0"/>
        <w:snapToGrid w:val="0"/>
        <w:jc w:val="center"/>
        <w:outlineLvl w:val="0"/>
        <w:rPr>
          <w:rFonts w:hint="default" w:ascii="方正小标宋_GBK" w:hAnsi="方正小标宋_GBK" w:eastAsia="方正小标宋_GBK" w:cs="方正小标宋_GBK"/>
          <w:b/>
          <w:bCs/>
          <w:color w:val="auto"/>
          <w:sz w:val="44"/>
          <w:szCs w:val="44"/>
          <w:highlight w:val="none"/>
          <w:lang w:val="en-US" w:eastAsia="zh-CN"/>
        </w:rPr>
      </w:pPr>
      <w:r>
        <w:rPr>
          <w:rFonts w:hint="eastAsia" w:ascii="方正小标宋_GBK" w:hAnsi="方正小标宋_GBK" w:eastAsia="方正小标宋_GBK" w:cs="方正小标宋_GBK"/>
          <w:b/>
          <w:bCs/>
          <w:color w:val="auto"/>
          <w:sz w:val="44"/>
          <w:szCs w:val="44"/>
          <w:highlight w:val="none"/>
          <w:lang w:val="en-US" w:eastAsia="zh-CN"/>
        </w:rPr>
        <w:t xml:space="preserve"> </w:t>
      </w:r>
    </w:p>
    <w:p>
      <w:pPr>
        <w:pStyle w:val="2"/>
        <w:ind w:firstLine="0" w:firstLineChars="0"/>
        <w:rPr>
          <w:rFonts w:hint="default"/>
          <w:lang w:val="en-US"/>
        </w:rPr>
      </w:pPr>
    </w:p>
    <w:sectPr>
      <w:footerReference r:id="rId3" w:type="default"/>
      <w:pgSz w:w="16783" w:h="11850" w:orient="landscape"/>
      <w:pgMar w:top="1701" w:right="1814" w:bottom="1701" w:left="1814"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Verdana">
    <w:panose1 w:val="020B0604030504040204"/>
    <w:charset w:val="00"/>
    <w:family w:val="roman"/>
    <w:pitch w:val="default"/>
    <w:sig w:usb0="A00006FF" w:usb1="4000205B" w:usb2="0000001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3954145</wp:posOffset>
              </wp:positionH>
              <wp:positionV relativeFrom="paragraph">
                <wp:posOffset>0</wp:posOffset>
              </wp:positionV>
              <wp:extent cx="805180" cy="1955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805180" cy="195580"/>
                      </a:xfrm>
                      <a:prstGeom prst="rect">
                        <a:avLst/>
                      </a:prstGeom>
                      <a:noFill/>
                      <a:ln>
                        <a:noFill/>
                      </a:ln>
                    </wps:spPr>
                    <wps:txbx>
                      <w:txbxContent>
                        <w:p>
                          <w:pPr>
                            <w:pStyle w:val="3"/>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8"/>
                              <w:szCs w:val="28"/>
                              <w:lang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eastAsia="zh-CN"/>
                            </w:rPr>
                            <w:t>—</w:t>
                          </w:r>
                        </w:p>
                      </w:txbxContent>
                    </wps:txbx>
                    <wps:bodyPr vert="horz" wrap="square" lIns="0" tIns="0" rIns="0" bIns="0" anchor="t" anchorCtr="0" upright="0"/>
                  </wps:wsp>
                </a:graphicData>
              </a:graphic>
            </wp:anchor>
          </w:drawing>
        </mc:Choice>
        <mc:Fallback>
          <w:pict>
            <v:shape id="文本框 3" o:spid="_x0000_s1026" o:spt="202" type="#_x0000_t202" style="position:absolute;left:0pt;margin-left:311.35pt;margin-top:0pt;height:15.4pt;width:63.4pt;mso-position-horizontal-relative:margin;z-index:251659264;mso-width-relative:page;mso-height-relative:page;" filled="f" stroked="f" coordsize="21600,21600" o:gfxdata="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3zzd1wAAAAcBAAAPAAAAAAAAAAEA&#10;IAAAACIAAABkcnMvZG93bnJldi54bWxQSwECFAAUAAAACACHTuJAmWXii9cBAACkAwAADgAAAAAA&#10;AAABACAAAAAmAQAAZHJzL2Uyb0RvYy54bWxQSwUGAAAAAAYABgBZAQAAbwUAAAAA&#10;">
              <v:fill on="f" focussize="0,0"/>
              <v:stroke on="f"/>
              <v:imagedata o:title=""/>
              <o:lock v:ext="edit" aspectratio="f"/>
              <v:textbox inset="0mm,0mm,0mm,0mm">
                <w:txbxContent>
                  <w:p>
                    <w:pPr>
                      <w:pStyle w:val="3"/>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8"/>
                        <w:szCs w:val="28"/>
                        <w:lang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YjRlYjMyZmRmMmZlMDIwNDgwODRjZDUwZmIwOWEifQ=="/>
  </w:docVars>
  <w:rsids>
    <w:rsidRoot w:val="EB5BA519"/>
    <w:rsid w:val="04714E01"/>
    <w:rsid w:val="04E63580"/>
    <w:rsid w:val="0A7572CA"/>
    <w:rsid w:val="0FF1C1C9"/>
    <w:rsid w:val="12FB5B57"/>
    <w:rsid w:val="16846CDC"/>
    <w:rsid w:val="177D0518"/>
    <w:rsid w:val="17DEE186"/>
    <w:rsid w:val="1FBF14EC"/>
    <w:rsid w:val="1FDE34DA"/>
    <w:rsid w:val="1FE561B0"/>
    <w:rsid w:val="23103CC6"/>
    <w:rsid w:val="23B32608"/>
    <w:rsid w:val="24ED9243"/>
    <w:rsid w:val="25974CCE"/>
    <w:rsid w:val="268B6420"/>
    <w:rsid w:val="26F74A13"/>
    <w:rsid w:val="2B7DCD34"/>
    <w:rsid w:val="2D45CE2B"/>
    <w:rsid w:val="2E8ED70D"/>
    <w:rsid w:val="2FFC4A9B"/>
    <w:rsid w:val="2FFF6983"/>
    <w:rsid w:val="315D1531"/>
    <w:rsid w:val="33134916"/>
    <w:rsid w:val="33FB63E5"/>
    <w:rsid w:val="33FF630C"/>
    <w:rsid w:val="35870D6B"/>
    <w:rsid w:val="36533492"/>
    <w:rsid w:val="3677657A"/>
    <w:rsid w:val="36CE17B6"/>
    <w:rsid w:val="37DF918F"/>
    <w:rsid w:val="37E9F576"/>
    <w:rsid w:val="395F6793"/>
    <w:rsid w:val="3A1F5887"/>
    <w:rsid w:val="3B6D5C38"/>
    <w:rsid w:val="3BE97464"/>
    <w:rsid w:val="3D292E5D"/>
    <w:rsid w:val="3DB50145"/>
    <w:rsid w:val="3DDF009F"/>
    <w:rsid w:val="3DEFC659"/>
    <w:rsid w:val="3DF5C6A9"/>
    <w:rsid w:val="3DFB4D1F"/>
    <w:rsid w:val="3FBF0238"/>
    <w:rsid w:val="3FDDE6B6"/>
    <w:rsid w:val="3FF7D8A3"/>
    <w:rsid w:val="3FFF0A22"/>
    <w:rsid w:val="400A37C2"/>
    <w:rsid w:val="41FFDDEA"/>
    <w:rsid w:val="462C4DED"/>
    <w:rsid w:val="46676AE1"/>
    <w:rsid w:val="46FBB232"/>
    <w:rsid w:val="47B7E201"/>
    <w:rsid w:val="49474413"/>
    <w:rsid w:val="4AD92ACB"/>
    <w:rsid w:val="4BBD98BF"/>
    <w:rsid w:val="4C2A0E0A"/>
    <w:rsid w:val="4C446A81"/>
    <w:rsid w:val="4DCF14C0"/>
    <w:rsid w:val="4EFB6CC3"/>
    <w:rsid w:val="4F650FAA"/>
    <w:rsid w:val="4F67454A"/>
    <w:rsid w:val="4FCD0001"/>
    <w:rsid w:val="4FEF6CA9"/>
    <w:rsid w:val="4FFFBA24"/>
    <w:rsid w:val="50031D78"/>
    <w:rsid w:val="527B3ECD"/>
    <w:rsid w:val="52FDA2FB"/>
    <w:rsid w:val="53724FE3"/>
    <w:rsid w:val="53D369CD"/>
    <w:rsid w:val="542565A7"/>
    <w:rsid w:val="556E1483"/>
    <w:rsid w:val="557F774B"/>
    <w:rsid w:val="55DF3332"/>
    <w:rsid w:val="56ECDF65"/>
    <w:rsid w:val="5733C84B"/>
    <w:rsid w:val="57C64560"/>
    <w:rsid w:val="57DF1234"/>
    <w:rsid w:val="5A115C40"/>
    <w:rsid w:val="5A31CD95"/>
    <w:rsid w:val="5A9C1941"/>
    <w:rsid w:val="5BD79F81"/>
    <w:rsid w:val="5BFF9592"/>
    <w:rsid w:val="5C7B331A"/>
    <w:rsid w:val="5CF77543"/>
    <w:rsid w:val="5D7FCA8C"/>
    <w:rsid w:val="5DE76AA8"/>
    <w:rsid w:val="5DFF4DE6"/>
    <w:rsid w:val="5E137D0C"/>
    <w:rsid w:val="5ECF31A0"/>
    <w:rsid w:val="5F6B6097"/>
    <w:rsid w:val="5FB75BCD"/>
    <w:rsid w:val="5FE70B19"/>
    <w:rsid w:val="5FFB3350"/>
    <w:rsid w:val="5FFB86FB"/>
    <w:rsid w:val="5FFDBDE9"/>
    <w:rsid w:val="5FFFCACF"/>
    <w:rsid w:val="61E704FB"/>
    <w:rsid w:val="62E1711F"/>
    <w:rsid w:val="65BFE936"/>
    <w:rsid w:val="65E787CD"/>
    <w:rsid w:val="669BFA8D"/>
    <w:rsid w:val="66DF402D"/>
    <w:rsid w:val="675B4249"/>
    <w:rsid w:val="67DD775E"/>
    <w:rsid w:val="67DF2211"/>
    <w:rsid w:val="67FFF294"/>
    <w:rsid w:val="682B3AE9"/>
    <w:rsid w:val="687C90C4"/>
    <w:rsid w:val="687E30A2"/>
    <w:rsid w:val="69B4599C"/>
    <w:rsid w:val="6AE12DE8"/>
    <w:rsid w:val="6AFF90B0"/>
    <w:rsid w:val="6CBC5426"/>
    <w:rsid w:val="6CFDD348"/>
    <w:rsid w:val="6EBB58B1"/>
    <w:rsid w:val="6EE77C57"/>
    <w:rsid w:val="6EF2649B"/>
    <w:rsid w:val="6FBC196D"/>
    <w:rsid w:val="6FBDEB11"/>
    <w:rsid w:val="6FBEA110"/>
    <w:rsid w:val="6FDBC439"/>
    <w:rsid w:val="6FE7CBB6"/>
    <w:rsid w:val="6FF9305A"/>
    <w:rsid w:val="6FFC20D5"/>
    <w:rsid w:val="71559DD4"/>
    <w:rsid w:val="73CA210B"/>
    <w:rsid w:val="73DDDE20"/>
    <w:rsid w:val="73FAEA5C"/>
    <w:rsid w:val="747DAD61"/>
    <w:rsid w:val="74B82BB8"/>
    <w:rsid w:val="74FDE832"/>
    <w:rsid w:val="76DF9562"/>
    <w:rsid w:val="76E7D4AC"/>
    <w:rsid w:val="76FF25E8"/>
    <w:rsid w:val="7737BCA5"/>
    <w:rsid w:val="773E9462"/>
    <w:rsid w:val="77E77F55"/>
    <w:rsid w:val="79CA817B"/>
    <w:rsid w:val="7ADC56EC"/>
    <w:rsid w:val="7AF61234"/>
    <w:rsid w:val="7B3D63C9"/>
    <w:rsid w:val="7B874230"/>
    <w:rsid w:val="7B9F2144"/>
    <w:rsid w:val="7BC76A65"/>
    <w:rsid w:val="7BCD91B3"/>
    <w:rsid w:val="7BCE5620"/>
    <w:rsid w:val="7BE3A94E"/>
    <w:rsid w:val="7BE79647"/>
    <w:rsid w:val="7BEE9320"/>
    <w:rsid w:val="7BFA6132"/>
    <w:rsid w:val="7BFF0503"/>
    <w:rsid w:val="7C7DBBD7"/>
    <w:rsid w:val="7CA9F347"/>
    <w:rsid w:val="7CB96AD9"/>
    <w:rsid w:val="7CF7898B"/>
    <w:rsid w:val="7D36E54A"/>
    <w:rsid w:val="7D3ECFB5"/>
    <w:rsid w:val="7D4B98C8"/>
    <w:rsid w:val="7D7DA5B5"/>
    <w:rsid w:val="7D7F218E"/>
    <w:rsid w:val="7DBBCC57"/>
    <w:rsid w:val="7DF5C449"/>
    <w:rsid w:val="7E1E178F"/>
    <w:rsid w:val="7E3FA179"/>
    <w:rsid w:val="7E6FACD6"/>
    <w:rsid w:val="7E8F7AEB"/>
    <w:rsid w:val="7EDB9030"/>
    <w:rsid w:val="7EDD57FE"/>
    <w:rsid w:val="7EDE94E3"/>
    <w:rsid w:val="7EFB1B78"/>
    <w:rsid w:val="7EFF9BD4"/>
    <w:rsid w:val="7F1FFC7F"/>
    <w:rsid w:val="7F3DB732"/>
    <w:rsid w:val="7F3E318D"/>
    <w:rsid w:val="7F4F9B5A"/>
    <w:rsid w:val="7F77D7A2"/>
    <w:rsid w:val="7F7D9F2E"/>
    <w:rsid w:val="7F9F1647"/>
    <w:rsid w:val="7FBF2BFF"/>
    <w:rsid w:val="7FD76BA2"/>
    <w:rsid w:val="7FD9CD43"/>
    <w:rsid w:val="7FE57AAE"/>
    <w:rsid w:val="7FE72D63"/>
    <w:rsid w:val="7FE75784"/>
    <w:rsid w:val="7FE7F7B6"/>
    <w:rsid w:val="7FEDAF3F"/>
    <w:rsid w:val="7FEF77EE"/>
    <w:rsid w:val="7FEFB1AC"/>
    <w:rsid w:val="7FFDDE7D"/>
    <w:rsid w:val="7FFE1A6A"/>
    <w:rsid w:val="7FFE34DB"/>
    <w:rsid w:val="7FFF1940"/>
    <w:rsid w:val="7FFF4317"/>
    <w:rsid w:val="7FFF7B99"/>
    <w:rsid w:val="89F35A3D"/>
    <w:rsid w:val="8D76F41A"/>
    <w:rsid w:val="8DF3FE93"/>
    <w:rsid w:val="8FF56DAA"/>
    <w:rsid w:val="97F9D331"/>
    <w:rsid w:val="9ECBD10B"/>
    <w:rsid w:val="9F6FF9BC"/>
    <w:rsid w:val="9FBED5D3"/>
    <w:rsid w:val="9FBEF82C"/>
    <w:rsid w:val="9FE79B42"/>
    <w:rsid w:val="9FFF7744"/>
    <w:rsid w:val="A9892F41"/>
    <w:rsid w:val="A9E9A822"/>
    <w:rsid w:val="AE4F6571"/>
    <w:rsid w:val="AE7A474C"/>
    <w:rsid w:val="AF7F9091"/>
    <w:rsid w:val="AFDDDEAB"/>
    <w:rsid w:val="B081DE75"/>
    <w:rsid w:val="B52D88BB"/>
    <w:rsid w:val="B7DD4F84"/>
    <w:rsid w:val="B7FED026"/>
    <w:rsid w:val="B9BF1AD8"/>
    <w:rsid w:val="BB3DD06F"/>
    <w:rsid w:val="BB3FC302"/>
    <w:rsid w:val="BBEF5557"/>
    <w:rsid w:val="BBFA88D1"/>
    <w:rsid w:val="BBFF6C1E"/>
    <w:rsid w:val="BDBD6C36"/>
    <w:rsid w:val="BDE3DBA8"/>
    <w:rsid w:val="BDFF6572"/>
    <w:rsid w:val="BEDD1A80"/>
    <w:rsid w:val="BF3FCE3C"/>
    <w:rsid w:val="BF7EA367"/>
    <w:rsid w:val="BF7EB052"/>
    <w:rsid w:val="BFEA9E6E"/>
    <w:rsid w:val="BFF3B7B5"/>
    <w:rsid w:val="C79BB30A"/>
    <w:rsid w:val="C7EF190A"/>
    <w:rsid w:val="C7FF9113"/>
    <w:rsid w:val="CEBBF1B3"/>
    <w:rsid w:val="CEFF4AA8"/>
    <w:rsid w:val="CFFB8B07"/>
    <w:rsid w:val="D1BB9FB7"/>
    <w:rsid w:val="D47D2079"/>
    <w:rsid w:val="D4FE1F3C"/>
    <w:rsid w:val="D65D41E1"/>
    <w:rsid w:val="D66FA689"/>
    <w:rsid w:val="D73C8550"/>
    <w:rsid w:val="D9F67C5F"/>
    <w:rsid w:val="D9FF5CEF"/>
    <w:rsid w:val="DAFA848A"/>
    <w:rsid w:val="DB9D20EA"/>
    <w:rsid w:val="DBC497AB"/>
    <w:rsid w:val="DBE9F360"/>
    <w:rsid w:val="DBFBFD46"/>
    <w:rsid w:val="DBFFB208"/>
    <w:rsid w:val="DD7B59BC"/>
    <w:rsid w:val="DDBCDC27"/>
    <w:rsid w:val="DDE5E041"/>
    <w:rsid w:val="DEB5A919"/>
    <w:rsid w:val="DF73E718"/>
    <w:rsid w:val="DF9D9D20"/>
    <w:rsid w:val="DFAE663B"/>
    <w:rsid w:val="E4DD923F"/>
    <w:rsid w:val="E57A1EFF"/>
    <w:rsid w:val="E6BB68B9"/>
    <w:rsid w:val="E7DD7A4E"/>
    <w:rsid w:val="E7DEE434"/>
    <w:rsid w:val="E7E9407F"/>
    <w:rsid w:val="E97DD8E9"/>
    <w:rsid w:val="EAFB9F7F"/>
    <w:rsid w:val="EB5BA519"/>
    <w:rsid w:val="EBEF4F5D"/>
    <w:rsid w:val="EDBDA0A4"/>
    <w:rsid w:val="EDFD17FD"/>
    <w:rsid w:val="EDFF4D46"/>
    <w:rsid w:val="EE7B78A2"/>
    <w:rsid w:val="EE7B7C50"/>
    <w:rsid w:val="EEBE335B"/>
    <w:rsid w:val="EEF97CE5"/>
    <w:rsid w:val="EF632EE0"/>
    <w:rsid w:val="EF766D45"/>
    <w:rsid w:val="EFAF93DC"/>
    <w:rsid w:val="EFBD4094"/>
    <w:rsid w:val="EFCC2D22"/>
    <w:rsid w:val="EFD1C8EE"/>
    <w:rsid w:val="EFEE857C"/>
    <w:rsid w:val="EFEF5462"/>
    <w:rsid w:val="EFF4B48E"/>
    <w:rsid w:val="EFFA2454"/>
    <w:rsid w:val="EFFF85FD"/>
    <w:rsid w:val="F0AF094D"/>
    <w:rsid w:val="F19BAE3A"/>
    <w:rsid w:val="F3136ACD"/>
    <w:rsid w:val="F3171517"/>
    <w:rsid w:val="F4F724C4"/>
    <w:rsid w:val="F57F6CEC"/>
    <w:rsid w:val="F5F7E4DE"/>
    <w:rsid w:val="F6D56901"/>
    <w:rsid w:val="F6FB9E31"/>
    <w:rsid w:val="F759FEA8"/>
    <w:rsid w:val="F774F5B0"/>
    <w:rsid w:val="F79F8608"/>
    <w:rsid w:val="F79FC038"/>
    <w:rsid w:val="F7AD5558"/>
    <w:rsid w:val="F7DD224D"/>
    <w:rsid w:val="F7DF39B4"/>
    <w:rsid w:val="F7FB3AB2"/>
    <w:rsid w:val="F7FB9D35"/>
    <w:rsid w:val="F836E428"/>
    <w:rsid w:val="F860AEBA"/>
    <w:rsid w:val="F8F7F41D"/>
    <w:rsid w:val="F99BCB93"/>
    <w:rsid w:val="F9FEE199"/>
    <w:rsid w:val="FA35F3C2"/>
    <w:rsid w:val="FA5CF3FE"/>
    <w:rsid w:val="FADDE903"/>
    <w:rsid w:val="FADF29B2"/>
    <w:rsid w:val="FAFFC08C"/>
    <w:rsid w:val="FB93293B"/>
    <w:rsid w:val="FBB73BDE"/>
    <w:rsid w:val="FBCF2B76"/>
    <w:rsid w:val="FBEEAF23"/>
    <w:rsid w:val="FBF752FE"/>
    <w:rsid w:val="FC7B717B"/>
    <w:rsid w:val="FCDB4964"/>
    <w:rsid w:val="FCFB29D6"/>
    <w:rsid w:val="FD13F7DD"/>
    <w:rsid w:val="FD5F7927"/>
    <w:rsid w:val="FD7BB1A8"/>
    <w:rsid w:val="FD7FDF0E"/>
    <w:rsid w:val="FDCF7577"/>
    <w:rsid w:val="FDF7C653"/>
    <w:rsid w:val="FECD52DB"/>
    <w:rsid w:val="FECF774A"/>
    <w:rsid w:val="FEED97D4"/>
    <w:rsid w:val="FEF354DD"/>
    <w:rsid w:val="FEFACF46"/>
    <w:rsid w:val="FF3FFC25"/>
    <w:rsid w:val="FF6B58B9"/>
    <w:rsid w:val="FF79AACA"/>
    <w:rsid w:val="FF7E845E"/>
    <w:rsid w:val="FF7FFE35"/>
    <w:rsid w:val="FFAF48F9"/>
    <w:rsid w:val="FFBF531C"/>
    <w:rsid w:val="FFC534D6"/>
    <w:rsid w:val="FFCD69DA"/>
    <w:rsid w:val="FFD755E6"/>
    <w:rsid w:val="FFD789FC"/>
    <w:rsid w:val="FFD7F91C"/>
    <w:rsid w:val="FFF9E008"/>
    <w:rsid w:val="FFFD1DD5"/>
    <w:rsid w:val="FFFF90E8"/>
    <w:rsid w:val="FFFFAB2C"/>
    <w:rsid w:val="FFFFB4F2"/>
    <w:rsid w:val="FFFFE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widowControl w:val="0"/>
      <w:suppressAutoHyphens/>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默认段落字体1"/>
    <w:autoRedefine/>
    <w:qFormat/>
    <w:uiPriority w:val="0"/>
  </w:style>
  <w:style w:type="character" w:customStyle="1" w:styleId="10">
    <w:name w:val="font31"/>
    <w:basedOn w:val="9"/>
    <w:autoRedefine/>
    <w:qFormat/>
    <w:uiPriority w:val="0"/>
    <w:rPr>
      <w:rFonts w:hint="eastAsia" w:ascii="宋体" w:hAnsi="宋体" w:eastAsia="宋体" w:cs="宋体"/>
      <w:b/>
      <w:bCs/>
      <w:color w:val="000000"/>
      <w:sz w:val="18"/>
      <w:szCs w:val="18"/>
      <w:u w:val="none"/>
    </w:rPr>
  </w:style>
  <w:style w:type="paragraph" w:customStyle="1" w:styleId="11">
    <w:name w:val="正文首缩两字 Char"/>
    <w:basedOn w:val="1"/>
    <w:qFormat/>
    <w:uiPriority w:val="99"/>
    <w:rPr>
      <w:rFonts w:ascii="Verdana" w:hAnsi="Verdana"/>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767</Words>
  <Characters>776</Characters>
  <Lines>0</Lines>
  <Paragraphs>0</Paragraphs>
  <TotalTime>0</TotalTime>
  <ScaleCrop>false</ScaleCrop>
  <LinksUpToDate>false</LinksUpToDate>
  <CharactersWithSpaces>780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2024-06-29T15:15:00Z</dcterms:created>
  <dc:creator>user1</dc:creator>
  <cp:lastModifiedBy>桥北</cp:lastModifiedBy>
  <cp:lastPrinted>2024-06-30T23:38:00Z</cp:lastPrinted>
  <dcterms:modified xsi:type="dcterms:W3CDTF">2024-09-09T02:01:48Z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67FE0E9D21404084AB14574ADEDE8BE4_13</vt:lpwstr>
  </property>
</Properties>
</file>