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0"/>
        <w:rPr>
          <w:rFonts w:hint="default" w:ascii="Times New Roman" w:hAnsi="Times New Roman" w:eastAsia="方正公文小标宋" w:cs="方正公文小标宋"/>
          <w:b/>
          <w:bCs/>
          <w:color w:val="auto"/>
          <w:sz w:val="44"/>
          <w:szCs w:val="44"/>
          <w:lang w:val="en-US" w:eastAsia="zh-CN"/>
        </w:rPr>
      </w:pPr>
      <w:r>
        <w:rPr>
          <w:rFonts w:hint="eastAsia" w:ascii="Times New Roman" w:hAnsi="Times New Roman" w:eastAsia="方正公文小标宋" w:cs="方正公文小标宋"/>
          <w:b/>
          <w:bCs/>
          <w:color w:val="auto"/>
          <w:sz w:val="44"/>
          <w:szCs w:val="44"/>
          <w:lang w:eastAsia="zh-CN"/>
        </w:rPr>
        <w:t>改</w:t>
      </w:r>
      <w:r>
        <w:rPr>
          <w:rFonts w:hint="eastAsia" w:ascii="Times New Roman" w:hAnsi="Times New Roman" w:eastAsia="方正公文小标宋" w:cs="方正公文小标宋"/>
          <w:b/>
          <w:bCs/>
          <w:color w:val="auto"/>
          <w:sz w:val="44"/>
          <w:szCs w:val="44"/>
          <w:lang w:val="en-US" w:eastAsia="zh-CN"/>
        </w:rPr>
        <w:t xml:space="preserve"> </w:t>
      </w:r>
      <w:r>
        <w:rPr>
          <w:rFonts w:hint="eastAsia" w:ascii="Times New Roman" w:hAnsi="Times New Roman" w:eastAsia="方正公文小标宋" w:cs="方正公文小标宋"/>
          <w:b/>
          <w:bCs/>
          <w:color w:val="auto"/>
          <w:sz w:val="44"/>
          <w:szCs w:val="44"/>
          <w:lang w:eastAsia="zh-CN"/>
        </w:rPr>
        <w:t>革</w:t>
      </w:r>
      <w:r>
        <w:rPr>
          <w:rFonts w:hint="eastAsia" w:ascii="Times New Roman" w:hAnsi="Times New Roman" w:eastAsia="方正公文小标宋" w:cs="方正公文小标宋"/>
          <w:b/>
          <w:bCs/>
          <w:color w:val="auto"/>
          <w:sz w:val="44"/>
          <w:szCs w:val="44"/>
          <w:lang w:val="en-US" w:eastAsia="zh-CN"/>
        </w:rPr>
        <w:t xml:space="preserve"> </w:t>
      </w:r>
      <w:r>
        <w:rPr>
          <w:rFonts w:hint="eastAsia" w:ascii="Times New Roman" w:hAnsi="Times New Roman" w:eastAsia="方正公文小标宋" w:cs="方正公文小标宋"/>
          <w:b/>
          <w:bCs/>
          <w:color w:val="auto"/>
          <w:sz w:val="44"/>
          <w:szCs w:val="44"/>
          <w:lang w:eastAsia="zh-CN"/>
        </w:rPr>
        <w:t>报</w:t>
      </w:r>
      <w:r>
        <w:rPr>
          <w:rFonts w:hint="eastAsia" w:ascii="Times New Roman" w:hAnsi="Times New Roman" w:eastAsia="方正公文小标宋" w:cs="方正公文小标宋"/>
          <w:b/>
          <w:bCs/>
          <w:color w:val="auto"/>
          <w:sz w:val="44"/>
          <w:szCs w:val="44"/>
          <w:lang w:val="en-US" w:eastAsia="zh-CN"/>
        </w:rPr>
        <w:t xml:space="preserve"> </w:t>
      </w:r>
      <w:r>
        <w:rPr>
          <w:rFonts w:hint="eastAsia" w:ascii="Times New Roman" w:hAnsi="Times New Roman" w:eastAsia="方正公文小标宋" w:cs="方正公文小标宋"/>
          <w:b/>
          <w:bCs/>
          <w:color w:val="auto"/>
          <w:sz w:val="44"/>
          <w:szCs w:val="44"/>
          <w:lang w:eastAsia="zh-CN"/>
        </w:rPr>
        <w:t>表（</w:t>
      </w:r>
      <w:r>
        <w:rPr>
          <w:rFonts w:hint="eastAsia" w:ascii="Times New Roman" w:hAnsi="Times New Roman" w:eastAsia="方正公文小标宋" w:cs="方正公文小标宋"/>
          <w:b/>
          <w:bCs/>
          <w:color w:val="auto"/>
          <w:sz w:val="44"/>
          <w:szCs w:val="44"/>
          <w:lang w:val="en-US" w:eastAsia="zh-CN"/>
        </w:rPr>
        <w:t>2024版</w:t>
      </w:r>
      <w:r>
        <w:rPr>
          <w:rFonts w:hint="eastAsia" w:ascii="Times New Roman" w:hAnsi="Times New Roman" w:eastAsia="方正公文小标宋" w:cs="方正公文小标宋"/>
          <w:b/>
          <w:bCs/>
          <w:color w:val="auto"/>
          <w:sz w:val="44"/>
          <w:szCs w:val="44"/>
          <w:lang w:eastAsia="zh-CN"/>
        </w:rPr>
        <w:t>）</w:t>
      </w:r>
    </w:p>
    <w:tbl>
      <w:tblPr>
        <w:tblStyle w:val="4"/>
        <w:tblW w:w="13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658"/>
        <w:gridCol w:w="2065"/>
        <w:gridCol w:w="7001"/>
        <w:gridCol w:w="1129"/>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1176" w:type="dxa"/>
            <w:vAlign w:val="center"/>
          </w:tcPr>
          <w:p>
            <w:pPr>
              <w:jc w:val="center"/>
              <w:rPr>
                <w:rFonts w:hint="default" w:ascii="Times New Roman" w:hAnsi="Times New Roman" w:eastAsia="方正黑体_GBK" w:cs="Times New Roman"/>
                <w:b w:val="0"/>
                <w:bCs w:val="0"/>
                <w:color w:val="auto"/>
                <w:sz w:val="21"/>
                <w:szCs w:val="21"/>
                <w:vertAlign w:val="baseline"/>
                <w:lang w:eastAsia="zh-CN"/>
              </w:rPr>
            </w:pPr>
            <w:r>
              <w:rPr>
                <w:rFonts w:hint="default" w:ascii="Times New Roman" w:hAnsi="Times New Roman" w:eastAsia="方正黑体_GBK" w:cs="Times New Roman"/>
                <w:b w:val="0"/>
                <w:bCs w:val="0"/>
                <w:color w:val="auto"/>
                <w:sz w:val="21"/>
                <w:szCs w:val="21"/>
                <w:vertAlign w:val="baseline"/>
                <w:lang w:eastAsia="zh-CN"/>
              </w:rPr>
              <w:t>评价维度</w:t>
            </w: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z w:val="21"/>
                <w:szCs w:val="21"/>
                <w:vertAlign w:val="baseline"/>
                <w:lang w:eastAsia="zh-CN"/>
              </w:rPr>
            </w:pPr>
            <w:r>
              <w:rPr>
                <w:rFonts w:hint="eastAsia" w:ascii="Times New Roman" w:hAnsi="Times New Roman" w:eastAsia="方正黑体_GBK" w:cs="Times New Roman"/>
                <w:b w:val="0"/>
                <w:bCs w:val="0"/>
                <w:color w:val="auto"/>
                <w:sz w:val="21"/>
                <w:szCs w:val="21"/>
                <w:vertAlign w:val="baseline"/>
                <w:lang w:eastAsia="zh-CN"/>
              </w:rPr>
              <w:t>序号</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z w:val="21"/>
                <w:szCs w:val="21"/>
                <w:vertAlign w:val="baseline"/>
                <w:lang w:eastAsia="zh-CN"/>
              </w:rPr>
            </w:pPr>
            <w:r>
              <w:rPr>
                <w:rFonts w:hint="default" w:ascii="Times New Roman" w:hAnsi="Times New Roman" w:eastAsia="方正黑体_GBK" w:cs="Times New Roman"/>
                <w:b w:val="0"/>
                <w:bCs w:val="0"/>
                <w:color w:val="auto"/>
                <w:sz w:val="21"/>
                <w:szCs w:val="21"/>
                <w:vertAlign w:val="baseline"/>
                <w:lang w:eastAsia="zh-CN"/>
              </w:rPr>
              <w:t>指标名称</w:t>
            </w:r>
          </w:p>
        </w:tc>
        <w:tc>
          <w:tcPr>
            <w:tcW w:w="700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z w:val="21"/>
                <w:szCs w:val="21"/>
                <w:vertAlign w:val="baseline"/>
                <w:lang w:eastAsia="zh-CN"/>
              </w:rPr>
            </w:pPr>
            <w:r>
              <w:rPr>
                <w:rFonts w:hint="default" w:ascii="Times New Roman" w:hAnsi="Times New Roman" w:eastAsia="方正黑体_GBK" w:cs="Times New Roman"/>
                <w:b w:val="0"/>
                <w:bCs w:val="0"/>
                <w:color w:val="auto"/>
                <w:sz w:val="21"/>
                <w:szCs w:val="21"/>
                <w:vertAlign w:val="baseline"/>
                <w:lang w:eastAsia="zh-CN"/>
              </w:rPr>
              <w:t>评价内容</w:t>
            </w:r>
          </w:p>
        </w:tc>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评价周期</w:t>
            </w:r>
          </w:p>
        </w:tc>
        <w:tc>
          <w:tcPr>
            <w:tcW w:w="1961" w:type="dxa"/>
            <w:vAlign w:val="center"/>
          </w:tcPr>
          <w:p>
            <w:pPr>
              <w:jc w:val="center"/>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数据来源单位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1" w:hRule="atLeast"/>
          <w:jc w:val="center"/>
        </w:trPr>
        <w:tc>
          <w:tcPr>
            <w:tcW w:w="117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楷体_GBK" w:cs="Times New Roman"/>
                <w:b/>
                <w:bCs/>
                <w:color w:val="auto"/>
                <w:sz w:val="21"/>
                <w:szCs w:val="21"/>
                <w:highlight w:val="none"/>
                <w:u w:val="none"/>
                <w:lang w:val="en-US" w:eastAsia="zh-CN"/>
              </w:rPr>
            </w:pPr>
            <w:r>
              <w:rPr>
                <w:rStyle w:val="6"/>
                <w:rFonts w:hint="eastAsia" w:ascii="Times New Roman" w:hAnsi="Times New Roman" w:eastAsia="方正楷体_GBK" w:cs="Times New Roman"/>
                <w:b/>
                <w:bCs/>
                <w:color w:val="auto"/>
                <w:sz w:val="21"/>
                <w:szCs w:val="21"/>
                <w:highlight w:val="none"/>
                <w:u w:val="none"/>
                <w:lang w:val="en-US" w:eastAsia="zh-CN"/>
              </w:rPr>
              <w:t>改革落实</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楷体_GBK" w:cs="Times New Roman"/>
                <w:b/>
                <w:bCs/>
                <w:color w:val="auto"/>
                <w:sz w:val="21"/>
                <w:szCs w:val="21"/>
                <w:highlight w:val="none"/>
                <w:u w:val="none"/>
                <w:lang w:eastAsia="zh-CN"/>
              </w:rPr>
            </w:pP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楷体_GBK" w:cs="Times New Roman"/>
                <w:b/>
                <w:bCs/>
                <w:color w:val="auto"/>
                <w:sz w:val="21"/>
                <w:szCs w:val="21"/>
                <w:highlight w:val="none"/>
                <w:u w:val="none"/>
                <w:lang w:eastAsia="zh-CN"/>
              </w:rPr>
            </w:pP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1</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eastAsia="zh-CN"/>
              </w:rPr>
            </w:pPr>
            <w:r>
              <w:rPr>
                <w:rStyle w:val="6"/>
                <w:rFonts w:hint="default" w:ascii="Times New Roman" w:hAnsi="Times New Roman" w:eastAsia="方正仿宋_GBK" w:cs="Times New Roman"/>
                <w:b/>
                <w:bCs/>
                <w:color w:val="auto"/>
                <w:sz w:val="21"/>
                <w:szCs w:val="21"/>
                <w:highlight w:val="none"/>
                <w:u w:val="none"/>
                <w:lang w:val="en-US" w:eastAsia="zh-CN"/>
              </w:rPr>
              <w:t>数字重庆建设</w:t>
            </w:r>
          </w:p>
        </w:tc>
        <w:tc>
          <w:tcPr>
            <w:tcW w:w="700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Style w:val="6"/>
                <w:rFonts w:hint="eastAsia"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评价</w:t>
            </w:r>
            <w:r>
              <w:rPr>
                <w:rStyle w:val="6"/>
                <w:rFonts w:hint="default" w:ascii="Times New Roman" w:hAnsi="Times New Roman" w:cs="Times New Roman"/>
                <w:b w:val="0"/>
                <w:bCs w:val="0"/>
                <w:color w:val="auto"/>
                <w:kern w:val="2"/>
                <w:sz w:val="21"/>
                <w:szCs w:val="21"/>
                <w:u w:val="none"/>
                <w:lang w:val="en-US" w:eastAsia="zh-CN" w:bidi="ar-SA"/>
              </w:rPr>
              <w:t>区县</w:t>
            </w:r>
            <w:r>
              <w:rPr>
                <w:rStyle w:val="6"/>
                <w:rFonts w:hint="eastAsia" w:ascii="Times New Roman" w:hAnsi="Times New Roman" w:cs="Times New Roman"/>
                <w:b w:val="0"/>
                <w:bCs w:val="0"/>
                <w:color w:val="auto"/>
                <w:kern w:val="2"/>
                <w:sz w:val="21"/>
                <w:szCs w:val="21"/>
                <w:u w:val="none"/>
                <w:lang w:val="en-US" w:eastAsia="zh-CN" w:bidi="ar-SA"/>
              </w:rPr>
              <w:t>“一地创新、全市共享”的独立开发应用数</w:t>
            </w:r>
            <w:r>
              <w:rPr>
                <w:rStyle w:val="6"/>
                <w:rFonts w:hint="eastAsia" w:ascii="Times New Roman" w:hAnsi="Times New Roman" w:cs="Times New Roman"/>
                <w:b w:val="0"/>
                <w:bCs w:val="0"/>
                <w:color w:val="auto"/>
                <w:kern w:val="2"/>
                <w:sz w:val="21"/>
                <w:szCs w:val="21"/>
                <w:lang w:val="en-US" w:eastAsia="zh-CN" w:bidi="ar-SA"/>
              </w:rPr>
              <w:t>、一体化治理智治平台使用率、“一件事”应用数及上线数、</w:t>
            </w:r>
            <w:r>
              <w:rPr>
                <w:rStyle w:val="6"/>
                <w:rFonts w:hint="eastAsia" w:ascii="Times New Roman" w:hAnsi="Times New Roman" w:cs="Times New Roman"/>
                <w:b w:val="0"/>
                <w:bCs w:val="0"/>
                <w:color w:val="auto"/>
                <w:kern w:val="2"/>
                <w:sz w:val="21"/>
                <w:szCs w:val="21"/>
                <w:u w:val="none"/>
                <w:lang w:val="en-US" w:eastAsia="zh-CN" w:bidi="ar-SA"/>
              </w:rPr>
              <w:t>区县城运中心贯通应用数</w:t>
            </w:r>
            <w:r>
              <w:rPr>
                <w:rStyle w:val="6"/>
                <w:rFonts w:hint="eastAsia" w:ascii="Times New Roman" w:hAnsi="Times New Roman" w:cs="Times New Roman"/>
                <w:b w:val="0"/>
                <w:bCs w:val="0"/>
                <w:color w:val="auto"/>
                <w:kern w:val="2"/>
                <w:sz w:val="21"/>
                <w:szCs w:val="21"/>
                <w:lang w:val="en-US" w:eastAsia="zh-CN" w:bidi="ar-SA"/>
              </w:rPr>
              <w:t>、</w:t>
            </w:r>
            <w:r>
              <w:rPr>
                <w:rStyle w:val="6"/>
                <w:rFonts w:hint="eastAsia" w:ascii="Times New Roman" w:hAnsi="Times New Roman" w:cs="Times New Roman"/>
                <w:b w:val="0"/>
                <w:bCs w:val="0"/>
                <w:color w:val="auto"/>
                <w:kern w:val="2"/>
                <w:sz w:val="21"/>
                <w:szCs w:val="21"/>
                <w:u w:val="none"/>
                <w:lang w:val="en-US" w:eastAsia="zh-CN" w:bidi="ar-SA"/>
              </w:rPr>
              <w:t>区县城运中心事件处置率</w:t>
            </w:r>
            <w:r>
              <w:rPr>
                <w:rStyle w:val="6"/>
                <w:rFonts w:hint="eastAsia" w:ascii="Times New Roman" w:hAnsi="Times New Roman" w:cs="Times New Roman"/>
                <w:b w:val="0"/>
                <w:bCs w:val="0"/>
                <w:color w:val="auto"/>
                <w:kern w:val="2"/>
                <w:sz w:val="21"/>
                <w:szCs w:val="21"/>
                <w:lang w:val="en-US" w:eastAsia="zh-CN" w:bidi="ar-SA"/>
              </w:rPr>
              <w:t>、数据归集贡献率</w:t>
            </w:r>
            <w:r>
              <w:rPr>
                <w:rStyle w:val="6"/>
                <w:rFonts w:hint="default" w:ascii="Times New Roman" w:hAnsi="Times New Roman" w:cs="Times New Roman"/>
                <w:b w:val="0"/>
                <w:bCs w:val="0"/>
                <w:color w:val="auto"/>
                <w:kern w:val="2"/>
                <w:sz w:val="21"/>
                <w:szCs w:val="21"/>
                <w:lang w:eastAsia="zh-CN" w:bidi="ar-SA"/>
              </w:rPr>
              <w:t>6</w:t>
            </w:r>
            <w:r>
              <w:rPr>
                <w:rStyle w:val="6"/>
                <w:rFonts w:hint="eastAsia" w:ascii="Times New Roman" w:hAnsi="Times New Roman" w:cs="Times New Roman"/>
                <w:b w:val="0"/>
                <w:bCs w:val="0"/>
                <w:color w:val="auto"/>
                <w:kern w:val="2"/>
                <w:sz w:val="21"/>
                <w:szCs w:val="21"/>
                <w:lang w:val="en-US" w:eastAsia="zh-CN" w:bidi="ar-SA"/>
              </w:rPr>
              <w:t>项内容，按 25：20：15：10：15：15 分配权重，总分 100 分。</w:t>
            </w:r>
          </w:p>
          <w:p>
            <w:pPr>
              <w:pStyle w:val="2"/>
              <w:rPr>
                <w:rFonts w:hint="default"/>
                <w:lang w:val="en-US" w:eastAsia="zh-CN"/>
              </w:rPr>
            </w:pPr>
            <w:r>
              <w:rPr>
                <w:rStyle w:val="6"/>
                <w:rFonts w:hint="default" w:ascii="Times New Roman" w:hAnsi="Times New Roman" w:cs="Times New Roman"/>
                <w:b w:val="0"/>
                <w:bCs w:val="0"/>
                <w:color w:val="auto"/>
                <w:kern w:val="2"/>
                <w:sz w:val="21"/>
                <w:szCs w:val="21"/>
                <w:lang w:val="en-US" w:eastAsia="zh-CN" w:bidi="ar-SA"/>
              </w:rPr>
              <w:t>其中，“一地创新全市共享”的独立开发应用数</w:t>
            </w:r>
            <w:r>
              <w:rPr>
                <w:rStyle w:val="6"/>
                <w:rFonts w:hint="eastAsia" w:ascii="Times New Roman" w:hAnsi="Times New Roman" w:cs="Times New Roman"/>
                <w:b w:val="0"/>
                <w:bCs w:val="0"/>
                <w:color w:val="auto"/>
                <w:kern w:val="2"/>
                <w:sz w:val="21"/>
                <w:szCs w:val="21"/>
                <w:lang w:val="en-US" w:eastAsia="zh-CN" w:bidi="ar-SA"/>
              </w:rPr>
              <w:t>指</w:t>
            </w:r>
            <w:r>
              <w:rPr>
                <w:rStyle w:val="6"/>
                <w:rFonts w:hint="default" w:ascii="Times New Roman" w:hAnsi="Times New Roman" w:cs="Times New Roman"/>
                <w:b w:val="0"/>
                <w:bCs w:val="0"/>
                <w:color w:val="auto"/>
                <w:kern w:val="2"/>
                <w:sz w:val="21"/>
                <w:szCs w:val="21"/>
                <w:lang w:val="en-US" w:eastAsia="zh-CN" w:bidi="ar-SA"/>
              </w:rPr>
              <w:t>区县独立开发（含市级应用试点区县独立开发），进入区县应用“一本账”且通过“一地创新、全市共享”审核流程的应用数量；</w:t>
            </w:r>
            <w:r>
              <w:rPr>
                <w:rStyle w:val="6"/>
                <w:rFonts w:hint="default" w:ascii="Times New Roman" w:hAnsi="Times New Roman" w:cs="Times New Roman"/>
                <w:b w:val="0"/>
                <w:bCs w:val="0"/>
                <w:color w:val="auto"/>
                <w:kern w:val="2"/>
                <w:sz w:val="21"/>
                <w:szCs w:val="21"/>
                <w:u w:val="none"/>
                <w:lang w:val="en-US" w:eastAsia="zh-CN" w:bidi="ar-SA"/>
              </w:rPr>
              <w:t>一体化治理智治平台使用率由重点对象关注覆盖率、事件和任务按期办理完成率、核心业务“上跑道”情况构成</w:t>
            </w:r>
            <w:r>
              <w:rPr>
                <w:rStyle w:val="6"/>
                <w:rFonts w:hint="eastAsia" w:ascii="Times New Roman" w:hAnsi="Times New Roman" w:cs="Times New Roman"/>
                <w:b w:val="0"/>
                <w:bCs w:val="0"/>
                <w:color w:val="auto"/>
                <w:kern w:val="2"/>
                <w:sz w:val="21"/>
                <w:szCs w:val="21"/>
                <w:u w:val="none"/>
                <w:lang w:val="en-US" w:eastAsia="zh-CN" w:bidi="ar-SA"/>
              </w:rPr>
              <w:t>，分别占6分、8分、6分</w:t>
            </w:r>
            <w:r>
              <w:rPr>
                <w:rStyle w:val="6"/>
                <w:rFonts w:hint="default" w:ascii="Times New Roman" w:hAnsi="Times New Roman" w:cs="Times New Roman"/>
                <w:b w:val="0"/>
                <w:bCs w:val="0"/>
                <w:color w:val="auto"/>
                <w:kern w:val="2"/>
                <w:sz w:val="21"/>
                <w:szCs w:val="21"/>
                <w:lang w:val="en-US" w:eastAsia="zh-CN" w:bidi="ar-SA"/>
              </w:rPr>
              <w:t>；“一件事”应用数</w:t>
            </w:r>
            <w:r>
              <w:rPr>
                <w:rStyle w:val="6"/>
                <w:rFonts w:hint="eastAsia" w:ascii="Times New Roman" w:hAnsi="Times New Roman" w:cs="Times New Roman"/>
                <w:b w:val="0"/>
                <w:bCs w:val="0"/>
                <w:color w:val="auto"/>
                <w:kern w:val="2"/>
                <w:sz w:val="21"/>
                <w:szCs w:val="21"/>
                <w:lang w:val="en-US" w:eastAsia="zh-CN" w:bidi="ar-SA"/>
              </w:rPr>
              <w:t>及</w:t>
            </w:r>
            <w:r>
              <w:rPr>
                <w:rStyle w:val="6"/>
                <w:rFonts w:hint="default" w:ascii="Times New Roman" w:hAnsi="Times New Roman" w:cs="Times New Roman"/>
                <w:b w:val="0"/>
                <w:bCs w:val="0"/>
                <w:color w:val="auto"/>
                <w:kern w:val="2"/>
                <w:sz w:val="21"/>
                <w:szCs w:val="21"/>
                <w:lang w:val="en-US" w:eastAsia="zh-CN" w:bidi="ar-SA"/>
              </w:rPr>
              <w:t>上线数</w:t>
            </w:r>
            <w:r>
              <w:rPr>
                <w:rStyle w:val="6"/>
                <w:rFonts w:hint="eastAsia" w:ascii="Times New Roman" w:hAnsi="Times New Roman" w:cs="Times New Roman"/>
                <w:b w:val="0"/>
                <w:bCs w:val="0"/>
                <w:color w:val="auto"/>
                <w:kern w:val="2"/>
                <w:sz w:val="21"/>
                <w:szCs w:val="21"/>
                <w:lang w:val="en-US" w:eastAsia="zh-CN" w:bidi="ar-SA"/>
              </w:rPr>
              <w:t>指</w:t>
            </w:r>
            <w:r>
              <w:rPr>
                <w:rStyle w:val="6"/>
                <w:rFonts w:hint="default" w:ascii="Times New Roman" w:hAnsi="Times New Roman" w:cs="Times New Roman"/>
                <w:b w:val="0"/>
                <w:bCs w:val="0"/>
                <w:color w:val="auto"/>
                <w:kern w:val="2"/>
                <w:sz w:val="21"/>
                <w:szCs w:val="21"/>
                <w:lang w:val="en-US" w:eastAsia="zh-CN" w:bidi="ar-SA"/>
              </w:rPr>
              <w:t>进入区县应用“一本账”的应用</w:t>
            </w:r>
            <w:r>
              <w:rPr>
                <w:rStyle w:val="6"/>
                <w:rFonts w:hint="eastAsia" w:ascii="Times New Roman" w:hAnsi="Times New Roman" w:cs="Times New Roman"/>
                <w:b w:val="0"/>
                <w:bCs w:val="0"/>
                <w:color w:val="auto"/>
                <w:kern w:val="2"/>
                <w:sz w:val="21"/>
                <w:szCs w:val="21"/>
                <w:lang w:val="en-US" w:eastAsia="zh-CN" w:bidi="ar-SA"/>
              </w:rPr>
              <w:t>数和</w:t>
            </w:r>
            <w:r>
              <w:rPr>
                <w:rStyle w:val="6"/>
                <w:rFonts w:hint="default" w:ascii="Times New Roman" w:hAnsi="Times New Roman" w:cs="Times New Roman"/>
                <w:b w:val="0"/>
                <w:bCs w:val="0"/>
                <w:color w:val="auto"/>
                <w:kern w:val="2"/>
                <w:sz w:val="21"/>
                <w:szCs w:val="21"/>
                <w:lang w:val="en-US" w:eastAsia="zh-CN" w:bidi="ar-SA"/>
              </w:rPr>
              <w:t>开发上线的“一本账”区县应用</w:t>
            </w:r>
            <w:r>
              <w:rPr>
                <w:rStyle w:val="6"/>
                <w:rFonts w:hint="eastAsia" w:ascii="Times New Roman" w:hAnsi="Times New Roman" w:cs="Times New Roman"/>
                <w:b w:val="0"/>
                <w:bCs w:val="0"/>
                <w:color w:val="auto"/>
                <w:kern w:val="2"/>
                <w:sz w:val="21"/>
                <w:szCs w:val="21"/>
                <w:lang w:val="en-US" w:eastAsia="zh-CN" w:bidi="ar-SA"/>
              </w:rPr>
              <w:t>数</w:t>
            </w:r>
            <w:r>
              <w:rPr>
                <w:rStyle w:val="6"/>
                <w:rFonts w:hint="default" w:ascii="Times New Roman" w:hAnsi="Times New Roman" w:cs="Times New Roman"/>
                <w:b w:val="0"/>
                <w:bCs w:val="0"/>
                <w:color w:val="auto"/>
                <w:kern w:val="2"/>
                <w:sz w:val="21"/>
                <w:szCs w:val="21"/>
                <w:lang w:val="en-US" w:eastAsia="zh-CN" w:bidi="ar-SA"/>
              </w:rPr>
              <w:t>，各占 7.5分；区县城运中心贯通应用数</w:t>
            </w:r>
            <w:r>
              <w:rPr>
                <w:rStyle w:val="6"/>
                <w:rFonts w:hint="eastAsia" w:ascii="Times New Roman" w:hAnsi="Times New Roman" w:cs="Times New Roman"/>
                <w:b w:val="0"/>
                <w:bCs w:val="0"/>
                <w:color w:val="auto"/>
                <w:kern w:val="2"/>
                <w:sz w:val="21"/>
                <w:szCs w:val="21"/>
                <w:lang w:val="en-US" w:eastAsia="zh-CN" w:bidi="ar-SA"/>
              </w:rPr>
              <w:t>指</w:t>
            </w:r>
            <w:r>
              <w:rPr>
                <w:rStyle w:val="6"/>
                <w:rFonts w:hint="default" w:ascii="Times New Roman" w:hAnsi="Times New Roman" w:cs="Times New Roman"/>
                <w:b w:val="0"/>
                <w:bCs w:val="0"/>
                <w:color w:val="auto"/>
                <w:kern w:val="2"/>
                <w:sz w:val="21"/>
                <w:szCs w:val="21"/>
                <w:lang w:val="en-US" w:eastAsia="zh-CN" w:bidi="ar-SA"/>
              </w:rPr>
              <w:t>已接入区县数字化城市运行和治理中心并具备真实事件流转的应用数量；区县城运中心事件处置</w:t>
            </w:r>
            <w:r>
              <w:rPr>
                <w:rStyle w:val="6"/>
                <w:rFonts w:hint="eastAsia" w:ascii="Times New Roman" w:hAnsi="Times New Roman" w:cs="Times New Roman"/>
                <w:b w:val="0"/>
                <w:bCs w:val="0"/>
                <w:color w:val="auto"/>
                <w:kern w:val="2"/>
                <w:sz w:val="21"/>
                <w:szCs w:val="21"/>
                <w:lang w:val="en-US" w:eastAsia="zh-CN" w:bidi="ar-SA"/>
              </w:rPr>
              <w:t>率</w:t>
            </w:r>
            <w:r>
              <w:rPr>
                <w:rStyle w:val="6"/>
                <w:rFonts w:hint="default" w:ascii="Times New Roman" w:hAnsi="Times New Roman" w:cs="Times New Roman"/>
                <w:b w:val="0"/>
                <w:bCs w:val="0"/>
                <w:color w:val="auto"/>
                <w:kern w:val="2"/>
                <w:sz w:val="21"/>
                <w:szCs w:val="21"/>
                <w:lang w:val="en-US" w:eastAsia="zh-CN" w:bidi="ar-SA"/>
              </w:rPr>
              <w:t>由专家评估组随机抽取每个区县城运中心100 个真实流转事件，进行打分评价并取平均值；数据归集贡献率由已归集数据量（类）占各区县平均归集数据量比例、数据编目合格率、数据治理合格率构成</w:t>
            </w:r>
            <w:r>
              <w:rPr>
                <w:rStyle w:val="6"/>
                <w:rFonts w:hint="eastAsia" w:ascii="Times New Roman" w:hAnsi="Times New Roman" w:cs="Times New Roman"/>
                <w:b w:val="0"/>
                <w:bCs w:val="0"/>
                <w:color w:val="auto"/>
                <w:kern w:val="2"/>
                <w:sz w:val="21"/>
                <w:szCs w:val="21"/>
                <w:lang w:val="en-US" w:eastAsia="zh-CN" w:bidi="ar-SA"/>
              </w:rPr>
              <w:t>，</w:t>
            </w:r>
            <w:r>
              <w:rPr>
                <w:rStyle w:val="6"/>
                <w:rFonts w:hint="default" w:ascii="Times New Roman" w:hAnsi="Times New Roman" w:cs="Times New Roman"/>
                <w:b w:val="0"/>
                <w:bCs w:val="0"/>
                <w:color w:val="auto"/>
                <w:kern w:val="2"/>
                <w:sz w:val="21"/>
                <w:szCs w:val="21"/>
                <w:lang w:val="en-US" w:eastAsia="zh-CN" w:bidi="ar-SA"/>
              </w:rPr>
              <w:t>各占5分</w:t>
            </w:r>
            <w:r>
              <w:rPr>
                <w:rStyle w:val="6"/>
                <w:rFonts w:hint="eastAsia" w:ascii="Times New Roman" w:hAnsi="Times New Roman" w:cs="Times New Roman"/>
                <w:b w:val="0"/>
                <w:bCs w:val="0"/>
                <w:color w:val="auto"/>
                <w:kern w:val="2"/>
                <w:sz w:val="21"/>
                <w:szCs w:val="21"/>
                <w:lang w:val="en-US" w:eastAsia="zh-CN" w:bidi="ar-SA"/>
              </w:rPr>
              <w:t>，</w:t>
            </w:r>
            <w:r>
              <w:rPr>
                <w:rStyle w:val="6"/>
                <w:rFonts w:hint="default" w:ascii="Times New Roman" w:hAnsi="Times New Roman" w:cs="Times New Roman"/>
                <w:b w:val="0"/>
                <w:bCs w:val="0"/>
                <w:color w:val="auto"/>
                <w:kern w:val="2"/>
                <w:sz w:val="21"/>
                <w:szCs w:val="21"/>
                <w:lang w:val="en-US" w:eastAsia="zh-CN" w:bidi="ar-SA"/>
              </w:rPr>
              <w:t>已归集数据量（类）占各区县平均归集数据量比例大于等于</w:t>
            </w:r>
            <w:r>
              <w:rPr>
                <w:rStyle w:val="6"/>
                <w:rFonts w:hint="eastAsia" w:ascii="Times New Roman" w:hAnsi="Times New Roman" w:cs="Times New Roman"/>
                <w:b w:val="0"/>
                <w:bCs w:val="0"/>
                <w:color w:val="auto"/>
                <w:kern w:val="2"/>
                <w:sz w:val="21"/>
                <w:szCs w:val="21"/>
                <w:lang w:val="en-US" w:eastAsia="zh-CN" w:bidi="ar-SA"/>
              </w:rPr>
              <w:t>1</w:t>
            </w:r>
            <w:r>
              <w:rPr>
                <w:rStyle w:val="6"/>
                <w:rFonts w:hint="default" w:ascii="Times New Roman" w:hAnsi="Times New Roman" w:cs="Times New Roman"/>
                <w:b w:val="0"/>
                <w:bCs w:val="0"/>
                <w:color w:val="auto"/>
                <w:kern w:val="2"/>
                <w:sz w:val="21"/>
                <w:szCs w:val="21"/>
                <w:lang w:val="en-US" w:eastAsia="zh-CN" w:bidi="ar-SA"/>
              </w:rPr>
              <w:t>计</w:t>
            </w:r>
            <w:r>
              <w:rPr>
                <w:rStyle w:val="6"/>
                <w:rFonts w:hint="eastAsia" w:ascii="Times New Roman" w:hAnsi="Times New Roman" w:cs="Times New Roman"/>
                <w:b w:val="0"/>
                <w:bCs w:val="0"/>
                <w:color w:val="auto"/>
                <w:kern w:val="2"/>
                <w:sz w:val="21"/>
                <w:szCs w:val="21"/>
                <w:lang w:val="en-US" w:eastAsia="zh-CN" w:bidi="ar-SA"/>
              </w:rPr>
              <w:t>5分、</w:t>
            </w:r>
            <w:r>
              <w:rPr>
                <w:rStyle w:val="6"/>
                <w:rFonts w:hint="eastAsia" w:ascii="Times New Roman" w:hAnsi="Times New Roman" w:cs="Times New Roman"/>
                <w:b w:val="0"/>
                <w:bCs w:val="0"/>
                <w:color w:val="auto"/>
                <w:kern w:val="2"/>
                <w:sz w:val="21"/>
                <w:szCs w:val="21"/>
                <w:u w:val="none"/>
                <w:lang w:val="en-US" w:eastAsia="zh-CN" w:bidi="ar-SA"/>
              </w:rPr>
              <w:t>小于1大于等于0.5计3分、小于0.5计2分</w:t>
            </w:r>
            <w:r>
              <w:rPr>
                <w:rStyle w:val="6"/>
                <w:rFonts w:hint="eastAsia" w:ascii="Times New Roman" w:hAnsi="Times New Roman" w:cs="Times New Roman"/>
                <w:b w:val="0"/>
                <w:bCs w:val="0"/>
                <w:color w:val="auto"/>
                <w:kern w:val="2"/>
                <w:sz w:val="21"/>
                <w:szCs w:val="21"/>
                <w:lang w:val="en-US" w:eastAsia="zh-CN" w:bidi="ar-SA"/>
              </w:rPr>
              <w:t>，</w:t>
            </w:r>
            <w:r>
              <w:rPr>
                <w:rStyle w:val="6"/>
                <w:rFonts w:hint="default" w:ascii="Times New Roman" w:hAnsi="Times New Roman" w:cs="Times New Roman"/>
                <w:b w:val="0"/>
                <w:bCs w:val="0"/>
                <w:color w:val="auto"/>
                <w:kern w:val="2"/>
                <w:sz w:val="21"/>
                <w:szCs w:val="21"/>
                <w:lang w:val="en-US" w:eastAsia="zh-CN" w:bidi="ar-SA"/>
              </w:rPr>
              <w:t>数据编目合格率=已编目数据目录合格数占本区县数据编目总量的比例，数据治理合格率=经过数据治理合格的目录数量占本区县已归集目录数量的比例。总分=∑单项指标得分*权重。</w:t>
            </w:r>
          </w:p>
        </w:tc>
        <w:tc>
          <w:tcPr>
            <w:tcW w:w="11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市政府办公厅</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市委组织部</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eastAsia="方正仿宋_GBK" w:cs="Times New Roman"/>
                <w:color w:val="auto"/>
                <w:sz w:val="21"/>
                <w:szCs w:val="21"/>
                <w:vertAlign w:val="baseline"/>
                <w:lang w:eastAsia="zh-CN"/>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176"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楷体_GBK" w:cs="Times New Roman"/>
                <w:b/>
                <w:bCs/>
                <w:color w:val="auto"/>
                <w:sz w:val="21"/>
                <w:szCs w:val="21"/>
                <w:highlight w:val="none"/>
                <w:u w:val="none"/>
                <w:lang w:eastAsia="zh-CN"/>
              </w:rPr>
            </w:pP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2</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打赢国企改革攻坚战</w:t>
            </w:r>
          </w:p>
        </w:tc>
        <w:tc>
          <w:tcPr>
            <w:tcW w:w="7001" w:type="dxa"/>
            <w:vAlign w:val="center"/>
          </w:tcPr>
          <w:p>
            <w:pPr>
              <w:pStyle w:val="2"/>
              <w:keepNext w:val="0"/>
              <w:keepLines w:val="0"/>
              <w:pageBreakBefore w:val="0"/>
              <w:kinsoku/>
              <w:wordWrap/>
              <w:overflowPunct/>
              <w:topLinePunct w:val="0"/>
              <w:autoSpaceDE/>
              <w:autoSpaceDN/>
              <w:bidi w:val="0"/>
              <w:adjustRightInd/>
              <w:snapToGrid/>
              <w:spacing w:line="280" w:lineRule="exact"/>
              <w:ind w:firstLine="420" w:firstLineChars="200"/>
              <w:rPr>
                <w:rStyle w:val="6"/>
                <w:rFonts w:hint="eastAsia" w:ascii="Times New Roman" w:hAnsi="Times New Roman" w:cs="Times New Roman"/>
                <w:b w:val="0"/>
                <w:bCs w:val="0"/>
                <w:color w:val="auto"/>
                <w:kern w:val="2"/>
                <w:sz w:val="21"/>
                <w:szCs w:val="21"/>
                <w:lang w:val="en-US" w:eastAsia="zh-CN" w:bidi="ar-SA"/>
              </w:rPr>
            </w:pPr>
            <w:r>
              <w:rPr>
                <w:rStyle w:val="6"/>
                <w:rFonts w:hint="eastAsia" w:ascii="Times New Roman" w:hAnsi="Times New Roman" w:cs="Times New Roman"/>
                <w:b w:val="0"/>
                <w:bCs w:val="0"/>
                <w:color w:val="auto"/>
                <w:kern w:val="2"/>
                <w:sz w:val="21"/>
                <w:szCs w:val="21"/>
                <w:lang w:val="en-US" w:eastAsia="zh-CN" w:bidi="ar-SA"/>
              </w:rPr>
              <w:t>评价区县国企止损减亏完成率、法人压减完成率2项内容，</w:t>
            </w:r>
            <w:r>
              <w:rPr>
                <w:rStyle w:val="6"/>
                <w:rFonts w:hint="eastAsia" w:ascii="Times New Roman" w:hAnsi="Times New Roman" w:cs="Times New Roman"/>
                <w:color w:val="auto"/>
                <w:kern w:val="2"/>
                <w:sz w:val="24"/>
                <w:szCs w:val="24"/>
                <w:lang w:val="en-US" w:eastAsia="zh-CN" w:bidi="ar-SA"/>
              </w:rPr>
              <w:t>按1：1分配权重</w:t>
            </w:r>
            <w:r>
              <w:rPr>
                <w:rStyle w:val="6"/>
                <w:rFonts w:hint="eastAsia" w:ascii="Times New Roman" w:hAnsi="Times New Roman" w:cs="Times New Roman"/>
                <w:b w:val="0"/>
                <w:bCs w:val="0"/>
                <w:color w:val="auto"/>
                <w:kern w:val="2"/>
                <w:sz w:val="21"/>
                <w:szCs w:val="21"/>
                <w:lang w:val="en-US" w:eastAsia="zh-CN" w:bidi="ar-SA"/>
              </w:rPr>
              <w:t>。</w:t>
            </w:r>
          </w:p>
          <w:p>
            <w:pPr>
              <w:ind w:firstLine="420" w:firstLineChars="200"/>
              <w:rPr>
                <w:rFonts w:hint="default"/>
                <w:lang w:val="en-US" w:eastAsia="zh-CN"/>
              </w:rPr>
            </w:pPr>
            <w:r>
              <w:rPr>
                <w:rStyle w:val="6"/>
                <w:rFonts w:hint="default" w:ascii="Times New Roman" w:hAnsi="Times New Roman" w:cs="Times New Roman"/>
                <w:b w:val="0"/>
                <w:bCs w:val="0"/>
                <w:color w:val="auto"/>
                <w:kern w:val="2"/>
                <w:sz w:val="21"/>
                <w:szCs w:val="21"/>
                <w:lang w:val="en-US" w:eastAsia="zh-CN" w:bidi="ar-SA"/>
              </w:rPr>
              <w:t>其中，国企止损减亏完成率=止损减亏企业户数/纳入目标责任书统计的亏损企业总户数，法人压减完成率=压减户数/纳入目标责任书统计的应压减企业总户数。总分=∑单项指标得分*权重。</w:t>
            </w:r>
          </w:p>
        </w:tc>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eastAsia="方正仿宋_GBK" w:cs="Times New Roman"/>
                <w:color w:val="auto"/>
                <w:sz w:val="21"/>
                <w:szCs w:val="21"/>
                <w:vertAlign w:val="baseline"/>
                <w:lang w:val="en-US" w:eastAsia="zh-CN"/>
              </w:rPr>
              <w:t>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3" w:hRule="atLeast"/>
          <w:jc w:val="center"/>
        </w:trPr>
        <w:tc>
          <w:tcPr>
            <w:tcW w:w="117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楷体_GBK" w:cs="Times New Roman"/>
                <w:b/>
                <w:bCs/>
                <w:color w:val="auto"/>
                <w:sz w:val="21"/>
                <w:szCs w:val="21"/>
                <w:highlight w:val="none"/>
                <w:u w:val="none"/>
                <w:lang w:eastAsia="zh-CN"/>
              </w:rPr>
            </w:pPr>
            <w:r>
              <w:rPr>
                <w:rStyle w:val="6"/>
                <w:rFonts w:hint="eastAsia" w:ascii="Times New Roman" w:hAnsi="Times New Roman" w:eastAsia="方正楷体_GBK" w:cs="Times New Roman"/>
                <w:b/>
                <w:bCs/>
                <w:color w:val="auto"/>
                <w:sz w:val="21"/>
                <w:szCs w:val="21"/>
                <w:highlight w:val="none"/>
                <w:u w:val="none"/>
                <w:lang w:val="en-US" w:eastAsia="zh-CN"/>
              </w:rPr>
              <w:t>改革落实</w:t>
            </w: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3</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打赢园区开发区改革攻坚战</w:t>
            </w:r>
          </w:p>
        </w:tc>
        <w:tc>
          <w:tcPr>
            <w:tcW w:w="7001" w:type="dxa"/>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评价区县园区开发区规上工业企业营业收入</w:t>
            </w:r>
            <w:r>
              <w:rPr>
                <w:rStyle w:val="6"/>
                <w:rFonts w:hint="eastAsia" w:ascii="Times New Roman" w:hAnsi="Times New Roman" w:cs="Times New Roman"/>
                <w:b w:val="0"/>
                <w:bCs w:val="0"/>
                <w:color w:val="auto"/>
                <w:kern w:val="2"/>
                <w:sz w:val="21"/>
                <w:szCs w:val="21"/>
                <w:lang w:val="en-US" w:eastAsia="zh-CN" w:bidi="ar-SA"/>
              </w:rPr>
              <w:t>完成率</w:t>
            </w:r>
            <w:r>
              <w:rPr>
                <w:rStyle w:val="6"/>
                <w:rFonts w:hint="default" w:ascii="Times New Roman" w:hAnsi="Times New Roman" w:cs="Times New Roman"/>
                <w:b w:val="0"/>
                <w:bCs w:val="0"/>
                <w:color w:val="auto"/>
                <w:kern w:val="2"/>
                <w:sz w:val="21"/>
                <w:szCs w:val="21"/>
                <w:lang w:val="en-US" w:eastAsia="zh-CN" w:bidi="ar-SA"/>
              </w:rPr>
              <w:t>。园区开发区</w:t>
            </w:r>
            <w:r>
              <w:rPr>
                <w:rStyle w:val="6"/>
                <w:rFonts w:hint="eastAsia" w:ascii="Times New Roman" w:hAnsi="Times New Roman" w:cs="Times New Roman"/>
                <w:b w:val="0"/>
                <w:bCs w:val="0"/>
                <w:color w:val="auto"/>
                <w:kern w:val="2"/>
                <w:sz w:val="21"/>
                <w:szCs w:val="21"/>
                <w:lang w:val="en-US" w:eastAsia="zh-CN" w:bidi="ar-SA"/>
              </w:rPr>
              <w:t>规上工业企业营业收入=实际完成营业收入/各区县签订目标责任书上设定的规上工业企业营业收入。</w:t>
            </w:r>
          </w:p>
        </w:tc>
        <w:tc>
          <w:tcPr>
            <w:tcW w:w="11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default" w:ascii="Times New Roman" w:hAnsi="Times New Roman" w:eastAsia="方正仿宋_GBK" w:cs="Times New Roman"/>
                <w:color w:val="auto"/>
                <w:sz w:val="21"/>
                <w:szCs w:val="21"/>
                <w:vertAlign w:val="baseline"/>
                <w:lang w:eastAsia="zh-CN"/>
              </w:rPr>
            </w:pPr>
            <w:r>
              <w:rPr>
                <w:rStyle w:val="6"/>
                <w:rFonts w:hint="default" w:ascii="Times New Roman" w:hAnsi="Times New Roman" w:cs="Times New Roman"/>
                <w:b w:val="0"/>
                <w:bCs w:val="0"/>
                <w:color w:val="auto"/>
                <w:kern w:val="2"/>
                <w:sz w:val="21"/>
                <w:szCs w:val="21"/>
                <w:lang w:val="en-US" w:eastAsia="zh-CN" w:bidi="ar-SA"/>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市发展改革委</w:t>
            </w:r>
          </w:p>
          <w:p>
            <w:pPr>
              <w:pStyle w:val="2"/>
              <w:ind w:left="0" w:leftChars="0" w:firstLine="0" w:firstLineChars="0"/>
              <w:jc w:val="center"/>
              <w:rPr>
                <w:rFonts w:hint="eastAsia"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市经济信息委</w:t>
            </w:r>
          </w:p>
          <w:p>
            <w:pPr>
              <w:jc w:val="center"/>
              <w:rPr>
                <w:rFonts w:hint="default"/>
                <w:lang w:val="en-US" w:eastAsia="zh-CN"/>
              </w:rPr>
            </w:pPr>
            <w:r>
              <w:rPr>
                <w:rFonts w:hint="eastAsia" w:ascii="Times New Roman" w:hAnsi="Times New Roman" w:eastAsia="方正仿宋_GBK" w:cs="Times New Roman"/>
                <w:color w:val="auto"/>
                <w:sz w:val="21"/>
                <w:szCs w:val="21"/>
                <w:vertAlign w:val="baseline"/>
                <w:lang w:val="en-US" w:eastAsia="zh-CN"/>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176"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楷体_GBK" w:cs="Times New Roman"/>
                <w:b/>
                <w:bCs/>
                <w:color w:val="auto"/>
                <w:sz w:val="21"/>
                <w:szCs w:val="21"/>
                <w:highlight w:val="none"/>
                <w:u w:val="none"/>
                <w:lang w:eastAsia="zh-CN"/>
              </w:rPr>
            </w:pP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4</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打赢政企分离改革攻坚战</w:t>
            </w:r>
          </w:p>
        </w:tc>
        <w:tc>
          <w:tcPr>
            <w:tcW w:w="7001" w:type="dxa"/>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评价区县政企分离改革完成率、国有资产集中统一监管比例2项内容</w:t>
            </w:r>
            <w:r>
              <w:rPr>
                <w:rStyle w:val="6"/>
                <w:rFonts w:hint="eastAsia" w:ascii="Times New Roman" w:hAnsi="Times New Roman" w:cs="Times New Roman"/>
                <w:b w:val="0"/>
                <w:bCs w:val="0"/>
                <w:color w:val="auto"/>
                <w:kern w:val="2"/>
                <w:sz w:val="21"/>
                <w:szCs w:val="21"/>
                <w:lang w:val="en-US" w:eastAsia="zh-CN" w:bidi="ar-SA"/>
              </w:rPr>
              <w:t>，</w:t>
            </w:r>
            <w:r>
              <w:rPr>
                <w:rStyle w:val="6"/>
                <w:rFonts w:hint="eastAsia" w:ascii="Times New Roman" w:hAnsi="Times New Roman" w:cs="Times New Roman"/>
                <w:color w:val="auto"/>
                <w:kern w:val="2"/>
                <w:sz w:val="24"/>
                <w:szCs w:val="24"/>
                <w:lang w:val="en-US" w:eastAsia="zh-CN" w:bidi="ar-SA"/>
              </w:rPr>
              <w:t>按1：1分配权重</w:t>
            </w:r>
            <w:r>
              <w:rPr>
                <w:rStyle w:val="6"/>
                <w:rFonts w:hint="default" w:ascii="Times New Roman" w:hAnsi="Times New Roman" w:cs="Times New Roman"/>
                <w:b w:val="0"/>
                <w:bCs w:val="0"/>
                <w:color w:val="auto"/>
                <w:kern w:val="2"/>
                <w:sz w:val="21"/>
                <w:szCs w:val="21"/>
                <w:lang w:val="en-US" w:eastAsia="zh-CN" w:bidi="ar-SA"/>
              </w:rPr>
              <w:t>。</w:t>
            </w:r>
          </w:p>
          <w:p>
            <w:pPr>
              <w:ind w:firstLine="420" w:firstLineChars="20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其中，政企分离改革完成率=已完成政企分离改革国有企业（全级次）数量/须政企分离改革国有企业（全级次）总量，国有资产集中统一监管比例=已纳入集中统一监管国有企业（全级次）数量/国有企业（全级次）总量。总分=∑单项指标得分*权重。</w:t>
            </w:r>
          </w:p>
          <w:p>
            <w:pPr>
              <w:rPr>
                <w:rFonts w:hint="default"/>
                <w:lang w:val="en-US" w:eastAsia="zh-CN"/>
              </w:rPr>
            </w:pPr>
          </w:p>
        </w:tc>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方正仿宋_GBK" w:cs="Times New Roman"/>
                <w:color w:val="auto"/>
                <w:sz w:val="21"/>
                <w:szCs w:val="21"/>
                <w:vertAlign w:val="baseline"/>
                <w:lang w:val="en-US" w:eastAsia="zh-CN"/>
              </w:rPr>
            </w:pPr>
            <w:r>
              <w:rPr>
                <w:rFonts w:hint="eastAsia" w:ascii="Times New Roman" w:hAnsi="Times New Roman" w:eastAsia="方正仿宋_GBK" w:cs="Times New Roman"/>
                <w:color w:val="auto"/>
                <w:sz w:val="21"/>
                <w:szCs w:val="21"/>
                <w:vertAlign w:val="baseline"/>
                <w:lang w:val="en-US" w:eastAsia="zh-CN"/>
              </w:rPr>
              <w:t>市委办公厅</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eastAsia="方正仿宋_GBK" w:cs="Times New Roman"/>
                <w:color w:val="auto"/>
                <w:sz w:val="21"/>
                <w:szCs w:val="21"/>
                <w:vertAlign w:val="baseline"/>
                <w:lang w:val="en-US" w:eastAsia="zh-CN"/>
              </w:rPr>
              <w:t>市国资委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6" w:hRule="atLeast"/>
          <w:jc w:val="center"/>
        </w:trPr>
        <w:tc>
          <w:tcPr>
            <w:tcW w:w="1176"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楷体_GBK" w:cs="Times New Roman"/>
                <w:b/>
                <w:bCs/>
                <w:color w:val="auto"/>
                <w:sz w:val="21"/>
                <w:szCs w:val="21"/>
                <w:highlight w:val="none"/>
                <w:u w:val="none"/>
                <w:lang w:eastAsia="zh-CN"/>
              </w:rPr>
            </w:pP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5</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全力推动国有资产盘活取得重大成果</w:t>
            </w:r>
          </w:p>
        </w:tc>
        <w:tc>
          <w:tcPr>
            <w:tcW w:w="700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Style w:val="6"/>
                <w:rFonts w:hint="eastAsia"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评价区县盘活存量国有资产</w:t>
            </w:r>
            <w:r>
              <w:rPr>
                <w:rStyle w:val="6"/>
                <w:rFonts w:hint="eastAsia" w:ascii="Times New Roman" w:hAnsi="Times New Roman" w:cs="Times New Roman"/>
                <w:b w:val="0"/>
                <w:bCs w:val="0"/>
                <w:color w:val="auto"/>
                <w:kern w:val="2"/>
                <w:sz w:val="21"/>
                <w:szCs w:val="21"/>
                <w:lang w:val="en-US" w:eastAsia="zh-CN" w:bidi="ar-SA"/>
              </w:rPr>
              <w:t>完成率、</w:t>
            </w:r>
            <w:r>
              <w:rPr>
                <w:rStyle w:val="6"/>
                <w:rFonts w:hint="default" w:ascii="Times New Roman" w:hAnsi="Times New Roman" w:cs="Times New Roman"/>
                <w:b w:val="0"/>
                <w:bCs w:val="0"/>
                <w:color w:val="auto"/>
                <w:kern w:val="2"/>
                <w:sz w:val="21"/>
                <w:szCs w:val="21"/>
                <w:lang w:val="en-US" w:eastAsia="zh-CN" w:bidi="ar-SA"/>
              </w:rPr>
              <w:t>存量国有资产盘活回收资金</w:t>
            </w:r>
            <w:r>
              <w:rPr>
                <w:rStyle w:val="6"/>
                <w:rFonts w:hint="eastAsia" w:ascii="Times New Roman" w:hAnsi="Times New Roman" w:cs="Times New Roman"/>
                <w:b w:val="0"/>
                <w:bCs w:val="0"/>
                <w:color w:val="auto"/>
                <w:kern w:val="2"/>
                <w:sz w:val="21"/>
                <w:szCs w:val="21"/>
                <w:lang w:val="en-US" w:eastAsia="zh-CN" w:bidi="ar-SA"/>
              </w:rPr>
              <w:t>完成率</w:t>
            </w:r>
            <w:r>
              <w:rPr>
                <w:rStyle w:val="6"/>
                <w:rFonts w:hint="default" w:ascii="Times New Roman" w:hAnsi="Times New Roman" w:cs="Times New Roman"/>
                <w:b w:val="0"/>
                <w:bCs w:val="0"/>
                <w:color w:val="auto"/>
                <w:kern w:val="2"/>
                <w:sz w:val="21"/>
                <w:szCs w:val="21"/>
                <w:lang w:val="en-US" w:eastAsia="zh-CN" w:bidi="ar-SA"/>
              </w:rPr>
              <w:t>2项内容</w:t>
            </w:r>
            <w:r>
              <w:rPr>
                <w:rStyle w:val="6"/>
                <w:rFonts w:hint="eastAsia" w:ascii="Times New Roman" w:hAnsi="Times New Roman" w:cs="Times New Roman"/>
                <w:b w:val="0"/>
                <w:bCs w:val="0"/>
                <w:color w:val="auto"/>
                <w:kern w:val="2"/>
                <w:sz w:val="21"/>
                <w:szCs w:val="21"/>
                <w:lang w:val="en-US" w:eastAsia="zh-CN" w:bidi="ar-SA"/>
              </w:rPr>
              <w:t>，</w:t>
            </w:r>
            <w:r>
              <w:rPr>
                <w:rStyle w:val="6"/>
                <w:rFonts w:hint="eastAsia" w:ascii="Times New Roman" w:hAnsi="Times New Roman" w:cs="Times New Roman"/>
                <w:color w:val="auto"/>
                <w:kern w:val="2"/>
                <w:sz w:val="24"/>
                <w:szCs w:val="24"/>
                <w:lang w:val="en-US" w:eastAsia="zh-CN" w:bidi="ar-SA"/>
              </w:rPr>
              <w:t>按1：1分配权重</w:t>
            </w:r>
            <w:r>
              <w:rPr>
                <w:rStyle w:val="6"/>
                <w:rFonts w:hint="eastAsia" w:ascii="Times New Roman" w:hAnsi="Times New Roman" w:cs="Times New Roman"/>
                <w:b w:val="0"/>
                <w:bCs w:val="0"/>
                <w:color w:val="auto"/>
                <w:kern w:val="2"/>
                <w:sz w:val="21"/>
                <w:szCs w:val="21"/>
                <w:lang w:val="en-US" w:eastAsia="zh-CN" w:bidi="ar-SA"/>
              </w:rPr>
              <w:t>。</w:t>
            </w:r>
          </w:p>
          <w:p>
            <w:pPr>
              <w:pStyle w:val="2"/>
              <w:rPr>
                <w:rFonts w:hint="default"/>
                <w:lang w:val="en-US" w:eastAsia="zh-CN"/>
              </w:rPr>
            </w:pPr>
            <w:r>
              <w:rPr>
                <w:rStyle w:val="6"/>
                <w:rFonts w:hint="default" w:ascii="Times New Roman" w:hAnsi="Times New Roman" w:cs="Times New Roman"/>
                <w:b w:val="0"/>
                <w:bCs w:val="0"/>
                <w:color w:val="auto"/>
                <w:kern w:val="2"/>
                <w:sz w:val="21"/>
                <w:szCs w:val="21"/>
                <w:lang w:val="en-US" w:eastAsia="zh-CN" w:bidi="ar-SA"/>
              </w:rPr>
              <w:t>其中，盘活存量国有资产</w:t>
            </w:r>
            <w:r>
              <w:rPr>
                <w:rStyle w:val="6"/>
                <w:rFonts w:hint="eastAsia" w:ascii="Times New Roman" w:hAnsi="Times New Roman" w:cs="Times New Roman"/>
                <w:b w:val="0"/>
                <w:bCs w:val="0"/>
                <w:color w:val="auto"/>
                <w:kern w:val="2"/>
                <w:sz w:val="21"/>
                <w:szCs w:val="21"/>
                <w:lang w:val="en-US" w:eastAsia="zh-CN" w:bidi="ar-SA"/>
              </w:rPr>
              <w:t>完成率</w:t>
            </w:r>
            <w:r>
              <w:rPr>
                <w:rStyle w:val="6"/>
                <w:rFonts w:hint="default" w:ascii="Times New Roman" w:hAnsi="Times New Roman" w:cs="Times New Roman"/>
                <w:b w:val="0"/>
                <w:bCs w:val="0"/>
                <w:color w:val="auto"/>
                <w:kern w:val="2"/>
                <w:sz w:val="21"/>
                <w:szCs w:val="21"/>
                <w:lang w:val="en-US" w:eastAsia="zh-CN" w:bidi="ar-SA"/>
              </w:rPr>
              <w:t>=区县已盘活存量国有资产价值/区县按照“三个一批”盘活原则确定的2024年存量国有资产盘活目标，存量国有资产盘活回收资金</w:t>
            </w:r>
            <w:r>
              <w:rPr>
                <w:rStyle w:val="6"/>
                <w:rFonts w:hint="eastAsia" w:ascii="Times New Roman" w:hAnsi="Times New Roman" w:cs="Times New Roman"/>
                <w:b w:val="0"/>
                <w:bCs w:val="0"/>
                <w:color w:val="auto"/>
                <w:kern w:val="2"/>
                <w:sz w:val="21"/>
                <w:szCs w:val="21"/>
                <w:lang w:val="en-US" w:eastAsia="zh-CN" w:bidi="ar-SA"/>
              </w:rPr>
              <w:t>完成率</w:t>
            </w:r>
            <w:r>
              <w:rPr>
                <w:rStyle w:val="6"/>
                <w:rFonts w:hint="default" w:ascii="Times New Roman" w:hAnsi="Times New Roman" w:cs="Times New Roman"/>
                <w:b w:val="0"/>
                <w:bCs w:val="0"/>
                <w:color w:val="auto"/>
                <w:kern w:val="2"/>
                <w:sz w:val="21"/>
                <w:szCs w:val="21"/>
                <w:lang w:val="en-US" w:eastAsia="zh-CN" w:bidi="ar-SA"/>
              </w:rPr>
              <w:t>=区县已盘活变现的回收资金/区县确定的全年存量国有资产盘活目标中实现变现的盘活回收资金。总分=∑单项指标得分*权重。</w:t>
            </w:r>
          </w:p>
        </w:tc>
        <w:tc>
          <w:tcPr>
            <w:tcW w:w="11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default" w:ascii="Times New Roman" w:hAnsi="Times New Roman" w:eastAsia="方正仿宋_GBK" w:cs="Times New Roman"/>
                <w:color w:val="auto"/>
                <w:sz w:val="21"/>
                <w:szCs w:val="21"/>
                <w:vertAlign w:val="baseline"/>
                <w:lang w:eastAsia="zh-CN"/>
              </w:rPr>
            </w:pPr>
            <w:r>
              <w:rPr>
                <w:rStyle w:val="6"/>
                <w:rFonts w:hint="default" w:ascii="Times New Roman" w:hAnsi="Times New Roman" w:cs="Times New Roman"/>
                <w:b w:val="0"/>
                <w:bCs w:val="0"/>
                <w:color w:val="auto"/>
                <w:kern w:val="2"/>
                <w:sz w:val="21"/>
                <w:szCs w:val="21"/>
                <w:lang w:val="en-US" w:eastAsia="zh-CN" w:bidi="ar-SA"/>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eastAsia="方正仿宋_GBK" w:cs="Times New Roman"/>
                <w:color w:val="auto"/>
                <w:sz w:val="21"/>
                <w:szCs w:val="21"/>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176" w:type="dxa"/>
            <w:vMerge w:val="continue"/>
            <w:tcBorders/>
            <w:vAlign w:val="center"/>
          </w:tcPr>
          <w:p>
            <w:pPr>
              <w:pStyle w:val="2"/>
              <w:rPr>
                <w:rStyle w:val="6"/>
                <w:rFonts w:hint="default"/>
                <w:b/>
                <w:bCs/>
                <w:kern w:val="2"/>
                <w:highlight w:val="none"/>
                <w:lang w:val="en-US" w:eastAsia="zh-CN" w:bidi="ar-SA"/>
              </w:rPr>
            </w:pP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6</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推进“大综合一体化”行政执法体制改革</w:t>
            </w:r>
          </w:p>
        </w:tc>
        <w:tc>
          <w:tcPr>
            <w:tcW w:w="700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评价区县</w:t>
            </w:r>
            <w:r>
              <w:rPr>
                <w:rStyle w:val="6"/>
                <w:rFonts w:hint="eastAsia" w:ascii="Times New Roman" w:hAnsi="Times New Roman" w:cs="Times New Roman"/>
                <w:b w:val="0"/>
                <w:bCs w:val="0"/>
                <w:color w:val="auto"/>
                <w:kern w:val="2"/>
                <w:sz w:val="21"/>
                <w:szCs w:val="21"/>
                <w:lang w:val="en-US" w:eastAsia="zh-CN" w:bidi="ar-SA"/>
              </w:rPr>
              <w:t>综合行政</w:t>
            </w:r>
            <w:r>
              <w:rPr>
                <w:rStyle w:val="6"/>
                <w:rFonts w:hint="default" w:ascii="Times New Roman" w:hAnsi="Times New Roman" w:cs="Times New Roman"/>
                <w:b w:val="0"/>
                <w:bCs w:val="0"/>
                <w:color w:val="auto"/>
                <w:kern w:val="2"/>
                <w:sz w:val="21"/>
                <w:szCs w:val="21"/>
                <w:lang w:val="en-US" w:eastAsia="zh-CN" w:bidi="ar-SA"/>
              </w:rPr>
              <w:t>执法</w:t>
            </w:r>
            <w:r>
              <w:rPr>
                <w:rStyle w:val="6"/>
                <w:rFonts w:hint="eastAsia" w:ascii="Times New Roman" w:hAnsi="Times New Roman" w:cs="Times New Roman"/>
                <w:b w:val="0"/>
                <w:bCs w:val="0"/>
                <w:color w:val="auto"/>
                <w:kern w:val="2"/>
                <w:sz w:val="21"/>
                <w:szCs w:val="21"/>
                <w:lang w:val="en-US" w:eastAsia="zh-CN" w:bidi="ar-SA"/>
              </w:rPr>
              <w:t>案件</w:t>
            </w:r>
            <w:r>
              <w:rPr>
                <w:rStyle w:val="6"/>
                <w:rFonts w:hint="default" w:ascii="Times New Roman" w:hAnsi="Times New Roman" w:cs="Times New Roman"/>
                <w:b w:val="0"/>
                <w:bCs w:val="0"/>
                <w:color w:val="auto"/>
                <w:kern w:val="2"/>
                <w:sz w:val="21"/>
                <w:szCs w:val="21"/>
                <w:lang w:val="en-US" w:eastAsia="zh-CN" w:bidi="ar-SA"/>
              </w:rPr>
              <w:t>被纠错</w:t>
            </w:r>
            <w:r>
              <w:rPr>
                <w:rStyle w:val="6"/>
                <w:rFonts w:hint="eastAsia" w:ascii="Times New Roman" w:hAnsi="Times New Roman" w:cs="Times New Roman"/>
                <w:b w:val="0"/>
                <w:bCs w:val="0"/>
                <w:color w:val="auto"/>
                <w:kern w:val="2"/>
                <w:sz w:val="21"/>
                <w:szCs w:val="21"/>
                <w:lang w:val="en-US" w:eastAsia="zh-CN" w:bidi="ar-SA"/>
              </w:rPr>
              <w:t>率。综合行政执法案件</w:t>
            </w:r>
            <w:r>
              <w:rPr>
                <w:rStyle w:val="6"/>
                <w:rFonts w:hint="default" w:ascii="Times New Roman" w:hAnsi="Times New Roman" w:cs="Times New Roman"/>
                <w:b w:val="0"/>
                <w:bCs w:val="0"/>
                <w:color w:val="auto"/>
                <w:kern w:val="2"/>
                <w:sz w:val="21"/>
                <w:szCs w:val="21"/>
                <w:lang w:val="en-US" w:eastAsia="zh-CN" w:bidi="ar-SA"/>
              </w:rPr>
              <w:t>被纠错</w:t>
            </w:r>
            <w:r>
              <w:rPr>
                <w:rStyle w:val="6"/>
                <w:rFonts w:hint="eastAsia" w:ascii="Times New Roman" w:hAnsi="Times New Roman" w:cs="Times New Roman"/>
                <w:b w:val="0"/>
                <w:bCs w:val="0"/>
                <w:color w:val="auto"/>
                <w:kern w:val="2"/>
                <w:sz w:val="21"/>
                <w:szCs w:val="21"/>
                <w:lang w:val="en-US" w:eastAsia="zh-CN" w:bidi="ar-SA"/>
              </w:rPr>
              <w:t>率=各区县综合行政执法案件</w:t>
            </w:r>
            <w:r>
              <w:rPr>
                <w:rStyle w:val="6"/>
                <w:rFonts w:hint="default" w:ascii="Times New Roman" w:hAnsi="Times New Roman" w:cs="Times New Roman"/>
                <w:b w:val="0"/>
                <w:bCs w:val="0"/>
                <w:color w:val="auto"/>
                <w:kern w:val="2"/>
                <w:sz w:val="21"/>
                <w:szCs w:val="21"/>
                <w:lang w:val="en-US" w:eastAsia="zh-CN" w:bidi="ar-SA"/>
              </w:rPr>
              <w:t>（含镇街）</w:t>
            </w:r>
            <w:r>
              <w:rPr>
                <w:rStyle w:val="6"/>
                <w:rFonts w:hint="eastAsia" w:ascii="Times New Roman" w:hAnsi="Times New Roman" w:cs="Times New Roman"/>
                <w:b w:val="0"/>
                <w:bCs w:val="0"/>
                <w:color w:val="auto"/>
                <w:kern w:val="2"/>
                <w:sz w:val="21"/>
                <w:szCs w:val="21"/>
                <w:lang w:val="en-US" w:eastAsia="zh-CN" w:bidi="ar-SA"/>
              </w:rPr>
              <w:t>经行政复议后被变更、撤销的案件数量/各区县综合行政执法案件</w:t>
            </w:r>
            <w:r>
              <w:rPr>
                <w:rStyle w:val="6"/>
                <w:rFonts w:hint="default" w:ascii="Times New Roman" w:hAnsi="Times New Roman" w:cs="Times New Roman"/>
                <w:b w:val="0"/>
                <w:bCs w:val="0"/>
                <w:color w:val="auto"/>
                <w:kern w:val="2"/>
                <w:sz w:val="21"/>
                <w:szCs w:val="21"/>
                <w:lang w:val="en-US" w:eastAsia="zh-CN" w:bidi="ar-SA"/>
              </w:rPr>
              <w:t>（含镇街）</w:t>
            </w:r>
            <w:r>
              <w:rPr>
                <w:rStyle w:val="6"/>
                <w:rFonts w:hint="eastAsia" w:ascii="Times New Roman" w:hAnsi="Times New Roman" w:cs="Times New Roman"/>
                <w:b w:val="0"/>
                <w:bCs w:val="0"/>
                <w:color w:val="auto"/>
                <w:kern w:val="2"/>
                <w:sz w:val="21"/>
                <w:szCs w:val="21"/>
                <w:lang w:val="en-US" w:eastAsia="zh-CN" w:bidi="ar-SA"/>
              </w:rPr>
              <w:t>总数。</w:t>
            </w:r>
          </w:p>
        </w:tc>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eastAsia="方正仿宋_GBK" w:cs="Times New Roman"/>
                <w:color w:val="auto"/>
                <w:sz w:val="21"/>
                <w:szCs w:val="21"/>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0" w:hRule="atLeast"/>
          <w:jc w:val="center"/>
        </w:trPr>
        <w:tc>
          <w:tcPr>
            <w:tcW w:w="1176" w:type="dxa"/>
            <w:vAlign w:val="center"/>
          </w:tcPr>
          <w:p>
            <w:pPr>
              <w:pStyle w:val="2"/>
              <w:ind w:left="0" w:leftChars="0" w:firstLine="0" w:firstLineChars="0"/>
              <w:rPr>
                <w:rStyle w:val="6"/>
                <w:rFonts w:hint="default"/>
                <w:b/>
                <w:bCs/>
                <w:kern w:val="2"/>
                <w:highlight w:val="none"/>
                <w:lang w:val="en-US" w:eastAsia="zh-CN" w:bidi="ar-SA"/>
              </w:rPr>
            </w:pPr>
            <w:bookmarkStart w:id="0" w:name="_GoBack"/>
            <w:bookmarkEnd w:id="0"/>
            <w:r>
              <w:rPr>
                <w:rStyle w:val="6"/>
                <w:rFonts w:hint="eastAsia" w:ascii="Times New Roman" w:hAnsi="Times New Roman" w:eastAsia="方正楷体_GBK" w:cs="Times New Roman"/>
                <w:b/>
                <w:bCs/>
                <w:color w:val="auto"/>
                <w:sz w:val="21"/>
                <w:szCs w:val="21"/>
                <w:highlight w:val="none"/>
                <w:u w:val="none"/>
                <w:lang w:val="en-US" w:eastAsia="zh-CN"/>
              </w:rPr>
              <w:t>改革落实</w:t>
            </w: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7</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eastAsia" w:ascii="Times New Roman" w:hAnsi="Times New Roman" w:eastAsia="方正仿宋_GBK" w:cs="Times New Roman"/>
                <w:b/>
                <w:bCs/>
                <w:color w:val="auto"/>
                <w:sz w:val="21"/>
                <w:szCs w:val="21"/>
                <w:highlight w:val="none"/>
                <w:u w:val="none"/>
                <w:lang w:val="en-US" w:eastAsia="zh-CN"/>
              </w:rPr>
            </w:pPr>
            <w:r>
              <w:rPr>
                <w:rStyle w:val="6"/>
                <w:rFonts w:hint="default" w:ascii="Times New Roman" w:hAnsi="Times New Roman" w:eastAsia="方正仿宋_GBK" w:cs="Times New Roman"/>
                <w:b/>
                <w:bCs/>
                <w:color w:val="auto"/>
                <w:sz w:val="21"/>
                <w:szCs w:val="21"/>
                <w:highlight w:val="none"/>
                <w:u w:val="none"/>
                <w:lang w:val="en-US" w:eastAsia="zh-CN"/>
              </w:rPr>
              <w:t>推进</w:t>
            </w:r>
            <w:r>
              <w:rPr>
                <w:rStyle w:val="6"/>
                <w:rFonts w:hint="eastAsia" w:ascii="Times New Roman" w:hAnsi="Times New Roman" w:eastAsia="方正仿宋_GBK" w:cs="Times New Roman"/>
                <w:b/>
                <w:bCs/>
                <w:color w:val="auto"/>
                <w:sz w:val="21"/>
                <w:szCs w:val="21"/>
                <w:highlight w:val="none"/>
                <w:u w:val="none"/>
                <w:lang w:val="en-US" w:eastAsia="zh-CN"/>
              </w:rPr>
              <w:t>医改惠民</w:t>
            </w:r>
          </w:p>
        </w:tc>
        <w:tc>
          <w:tcPr>
            <w:tcW w:w="700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Style w:val="6"/>
                <w:rFonts w:hint="eastAsia" w:ascii="Times New Roman" w:hAnsi="Times New Roman" w:cs="Times New Roman"/>
                <w:b w:val="0"/>
                <w:bCs w:val="0"/>
                <w:color w:val="auto"/>
                <w:kern w:val="2"/>
                <w:sz w:val="21"/>
                <w:szCs w:val="21"/>
                <w:lang w:val="en-US" w:eastAsia="zh-CN" w:bidi="ar-SA"/>
              </w:rPr>
            </w:pPr>
            <w:r>
              <w:rPr>
                <w:rStyle w:val="6"/>
                <w:rFonts w:hint="eastAsia" w:ascii="Times New Roman" w:hAnsi="Times New Roman" w:cs="Times New Roman"/>
                <w:b w:val="0"/>
                <w:bCs w:val="0"/>
                <w:color w:val="auto"/>
                <w:kern w:val="2"/>
                <w:sz w:val="21"/>
                <w:szCs w:val="21"/>
                <w:lang w:val="en-US" w:eastAsia="zh-CN" w:bidi="ar-SA"/>
              </w:rPr>
              <w:t>评价区县</w:t>
            </w:r>
            <w:r>
              <w:rPr>
                <w:rStyle w:val="6"/>
                <w:rFonts w:hint="default" w:ascii="Times New Roman" w:hAnsi="Times New Roman" w:cs="Times New Roman"/>
                <w:b w:val="0"/>
                <w:bCs w:val="0"/>
                <w:color w:val="auto"/>
                <w:kern w:val="2"/>
                <w:sz w:val="21"/>
                <w:szCs w:val="21"/>
                <w:lang w:val="en-US" w:eastAsia="zh-CN" w:bidi="ar-SA"/>
              </w:rPr>
              <w:t>数字医学影像</w:t>
            </w:r>
            <w:r>
              <w:rPr>
                <w:rStyle w:val="6"/>
                <w:rFonts w:hint="eastAsia" w:ascii="Times New Roman" w:hAnsi="Times New Roman" w:cs="Times New Roman"/>
                <w:b w:val="0"/>
                <w:bCs w:val="0"/>
                <w:color w:val="auto"/>
                <w:kern w:val="2"/>
                <w:sz w:val="21"/>
                <w:szCs w:val="21"/>
                <w:lang w:val="en-US" w:eastAsia="zh-CN" w:bidi="ar-SA"/>
              </w:rPr>
              <w:t>检查</w:t>
            </w:r>
            <w:r>
              <w:rPr>
                <w:rStyle w:val="6"/>
                <w:rFonts w:hint="eastAsia" w:ascii="Times New Roman" w:hAnsi="Times New Roman" w:cs="Times New Roman"/>
                <w:b w:val="0"/>
                <w:bCs w:val="0"/>
                <w:color w:val="auto"/>
                <w:kern w:val="2"/>
                <w:sz w:val="21"/>
                <w:szCs w:val="21"/>
                <w:u w:val="none"/>
                <w:lang w:val="en-US" w:eastAsia="zh-CN" w:bidi="ar-SA"/>
              </w:rPr>
              <w:t>结果</w:t>
            </w:r>
            <w:r>
              <w:rPr>
                <w:rStyle w:val="6"/>
                <w:rFonts w:hint="default" w:ascii="Times New Roman" w:hAnsi="Times New Roman" w:cs="Times New Roman"/>
                <w:b w:val="0"/>
                <w:bCs w:val="0"/>
                <w:color w:val="auto"/>
                <w:kern w:val="2"/>
                <w:sz w:val="21"/>
                <w:szCs w:val="21"/>
                <w:lang w:val="en-US" w:eastAsia="zh-CN" w:bidi="ar-SA"/>
              </w:rPr>
              <w:t>互认率</w:t>
            </w:r>
            <w:r>
              <w:rPr>
                <w:rStyle w:val="6"/>
                <w:rFonts w:hint="eastAsia" w:ascii="Times New Roman" w:hAnsi="Times New Roman" w:cs="Times New Roman"/>
                <w:b w:val="0"/>
                <w:bCs w:val="0"/>
                <w:color w:val="auto"/>
                <w:kern w:val="2"/>
                <w:sz w:val="21"/>
                <w:szCs w:val="21"/>
                <w:lang w:val="en-US" w:eastAsia="zh-CN" w:bidi="ar-SA"/>
              </w:rPr>
              <w:t>、居民规范化电子健康档案覆盖率</w:t>
            </w:r>
            <w:r>
              <w:rPr>
                <w:rStyle w:val="6"/>
                <w:rFonts w:hint="default" w:ascii="Times New Roman" w:hAnsi="Times New Roman" w:cs="Times New Roman"/>
                <w:b w:val="0"/>
                <w:bCs w:val="0"/>
                <w:color w:val="auto"/>
                <w:kern w:val="2"/>
                <w:sz w:val="21"/>
                <w:szCs w:val="21"/>
                <w:lang w:val="en-US" w:eastAsia="zh-CN" w:bidi="ar-SA"/>
              </w:rPr>
              <w:t>2</w:t>
            </w:r>
            <w:r>
              <w:rPr>
                <w:rStyle w:val="6"/>
                <w:rFonts w:hint="eastAsia" w:ascii="Times New Roman" w:hAnsi="Times New Roman" w:cs="Times New Roman"/>
                <w:b w:val="0"/>
                <w:bCs w:val="0"/>
                <w:color w:val="auto"/>
                <w:kern w:val="2"/>
                <w:sz w:val="21"/>
                <w:szCs w:val="21"/>
                <w:lang w:val="en-US" w:eastAsia="zh-CN" w:bidi="ar-SA"/>
              </w:rPr>
              <w:t>项内容，</w:t>
            </w:r>
            <w:r>
              <w:rPr>
                <w:rStyle w:val="6"/>
                <w:rFonts w:hint="eastAsia" w:ascii="Times New Roman" w:hAnsi="Times New Roman" w:cs="Times New Roman"/>
                <w:color w:val="auto"/>
                <w:kern w:val="2"/>
                <w:sz w:val="24"/>
                <w:szCs w:val="24"/>
                <w:lang w:val="en-US" w:eastAsia="zh-CN" w:bidi="ar-SA"/>
              </w:rPr>
              <w:t>按1：1分配权重</w:t>
            </w:r>
            <w:r>
              <w:rPr>
                <w:rStyle w:val="6"/>
                <w:rFonts w:hint="eastAsia" w:ascii="Times New Roman" w:hAnsi="Times New Roman" w:cs="Times New Roman"/>
                <w:b w:val="0"/>
                <w:bCs w:val="0"/>
                <w:color w:val="auto"/>
                <w:kern w:val="2"/>
                <w:sz w:val="21"/>
                <w:szCs w:val="21"/>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center"/>
              <w:outlineLvl w:val="9"/>
              <w:rPr>
                <w:rStyle w:val="6"/>
                <w:rFonts w:hint="default" w:ascii="Times New Roman" w:hAnsi="Times New Roman" w:cs="Times New Roman"/>
                <w:b w:val="0"/>
                <w:bCs w:val="0"/>
                <w:color w:val="auto"/>
                <w:kern w:val="2"/>
                <w:sz w:val="21"/>
                <w:szCs w:val="21"/>
                <w:lang w:val="en-US" w:eastAsia="zh-CN" w:bidi="ar-SA"/>
              </w:rPr>
            </w:pPr>
            <w:r>
              <w:rPr>
                <w:rStyle w:val="6"/>
                <w:rFonts w:hint="eastAsia" w:ascii="Times New Roman" w:hAnsi="Times New Roman" w:cs="Times New Roman"/>
                <w:b w:val="0"/>
                <w:bCs w:val="0"/>
                <w:color w:val="auto"/>
                <w:kern w:val="2"/>
                <w:sz w:val="21"/>
                <w:szCs w:val="21"/>
                <w:lang w:val="en-US" w:eastAsia="zh-CN" w:bidi="ar-SA"/>
              </w:rPr>
              <w:t>其中，</w:t>
            </w:r>
            <w:r>
              <w:rPr>
                <w:rStyle w:val="6"/>
                <w:rFonts w:hint="default" w:ascii="Times New Roman" w:hAnsi="Times New Roman" w:cs="Times New Roman"/>
                <w:b w:val="0"/>
                <w:bCs w:val="0"/>
                <w:color w:val="auto"/>
                <w:kern w:val="2"/>
                <w:sz w:val="21"/>
                <w:szCs w:val="21"/>
                <w:lang w:val="en-US" w:eastAsia="zh-CN" w:bidi="ar-SA"/>
              </w:rPr>
              <w:t>数字医学影像</w:t>
            </w:r>
            <w:r>
              <w:rPr>
                <w:rStyle w:val="6"/>
                <w:rFonts w:hint="eastAsia" w:ascii="Times New Roman" w:hAnsi="Times New Roman" w:cs="Times New Roman"/>
                <w:b w:val="0"/>
                <w:bCs w:val="0"/>
                <w:color w:val="auto"/>
                <w:kern w:val="2"/>
                <w:sz w:val="21"/>
                <w:szCs w:val="21"/>
                <w:lang w:val="en-US" w:eastAsia="zh-CN" w:bidi="ar-SA"/>
              </w:rPr>
              <w:t>检查结果</w:t>
            </w:r>
            <w:r>
              <w:rPr>
                <w:rStyle w:val="6"/>
                <w:rFonts w:hint="default" w:ascii="Times New Roman" w:hAnsi="Times New Roman" w:cs="Times New Roman"/>
                <w:b w:val="0"/>
                <w:bCs w:val="0"/>
                <w:color w:val="auto"/>
                <w:kern w:val="2"/>
                <w:sz w:val="21"/>
                <w:szCs w:val="21"/>
                <w:lang w:val="en-US" w:eastAsia="zh-CN" w:bidi="ar-SA"/>
              </w:rPr>
              <w:t>互认率</w:t>
            </w:r>
            <w:r>
              <w:rPr>
                <w:rStyle w:val="6"/>
                <w:rFonts w:hint="eastAsia" w:ascii="Times New Roman" w:hAnsi="Times New Roman" w:cs="Times New Roman"/>
                <w:b w:val="0"/>
                <w:bCs w:val="0"/>
                <w:color w:val="auto"/>
                <w:kern w:val="2"/>
                <w:sz w:val="21"/>
                <w:szCs w:val="21"/>
                <w:lang w:val="en-US" w:eastAsia="zh-CN" w:bidi="ar-SA"/>
              </w:rPr>
              <w:t>=互认人次/相似检查人次（3个月内相似检查提醒量），居民规范化电子健康档案覆盖率=居民规范化电子健康档案覆盖人数/辖区内常住居民数。</w:t>
            </w:r>
            <w:r>
              <w:rPr>
                <w:rStyle w:val="6"/>
                <w:rFonts w:hint="default" w:ascii="Times New Roman" w:hAnsi="Times New Roman" w:cs="Times New Roman"/>
                <w:b w:val="0"/>
                <w:bCs w:val="0"/>
                <w:color w:val="auto"/>
                <w:kern w:val="2"/>
                <w:sz w:val="21"/>
                <w:szCs w:val="21"/>
                <w:lang w:val="en-US" w:eastAsia="zh-CN" w:bidi="ar-SA"/>
              </w:rPr>
              <w:t>总分=∑单项指标得分*权重。</w:t>
            </w:r>
          </w:p>
        </w:tc>
        <w:tc>
          <w:tcPr>
            <w:tcW w:w="1129"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eastAsia="方正仿宋_GBK" w:cs="Times New Roman"/>
                <w:color w:val="auto"/>
                <w:sz w:val="21"/>
                <w:szCs w:val="21"/>
                <w:vertAlign w:val="baseline"/>
                <w:lang w:val="en-US"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8" w:hRule="atLeast"/>
          <w:jc w:val="center"/>
        </w:trPr>
        <w:tc>
          <w:tcPr>
            <w:tcW w:w="1176"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b/>
                <w:bCs/>
                <w:kern w:val="2"/>
                <w:highlight w:val="none"/>
                <w:lang w:val="en-US" w:eastAsia="zh-CN" w:bidi="ar-SA"/>
              </w:rPr>
            </w:pPr>
            <w:r>
              <w:rPr>
                <w:rStyle w:val="6"/>
                <w:rFonts w:hint="eastAsia" w:ascii="Times New Roman" w:hAnsi="Times New Roman" w:eastAsia="方正楷体_GBK" w:cs="Times New Roman"/>
                <w:b/>
                <w:bCs/>
                <w:color w:val="auto"/>
                <w:sz w:val="21"/>
                <w:szCs w:val="21"/>
                <w:highlight w:val="none"/>
                <w:u w:val="none"/>
                <w:lang w:val="en-US" w:eastAsia="zh-CN"/>
              </w:rPr>
              <w:t>改革探索</w:t>
            </w:r>
          </w:p>
        </w:tc>
        <w:tc>
          <w:tcPr>
            <w:tcW w:w="658"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8</w:t>
            </w:r>
          </w:p>
        </w:tc>
        <w:tc>
          <w:tcPr>
            <w:tcW w:w="206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default" w:ascii="Times New Roman" w:hAnsi="Times New Roman" w:eastAsia="方正仿宋_GBK" w:cs="Times New Roman"/>
                <w:b/>
                <w:bCs/>
                <w:color w:val="auto"/>
                <w:sz w:val="21"/>
                <w:szCs w:val="21"/>
                <w:highlight w:val="none"/>
                <w:u w:val="none"/>
                <w:lang w:val="en-US" w:eastAsia="zh-CN"/>
              </w:rPr>
              <w:t>新增国家改革试点项目数</w:t>
            </w:r>
          </w:p>
        </w:tc>
        <w:tc>
          <w:tcPr>
            <w:tcW w:w="7001" w:type="dxa"/>
            <w:vAlign w:val="center"/>
          </w:tcPr>
          <w:p>
            <w:pPr>
              <w:pStyle w:val="2"/>
              <w:ind w:left="0" w:leftChars="0" w:firstLine="420" w:firstLineChars="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评价区县</w:t>
            </w:r>
            <w:r>
              <w:rPr>
                <w:rStyle w:val="6"/>
                <w:rFonts w:hint="eastAsia" w:ascii="Times New Roman" w:hAnsi="Times New Roman" w:cs="Times New Roman"/>
                <w:b w:val="0"/>
                <w:bCs w:val="0"/>
                <w:color w:val="auto"/>
                <w:kern w:val="2"/>
                <w:sz w:val="21"/>
                <w:szCs w:val="21"/>
                <w:lang w:val="en-US" w:eastAsia="zh-CN" w:bidi="ar-SA"/>
              </w:rPr>
              <w:t>当年</w:t>
            </w:r>
            <w:r>
              <w:rPr>
                <w:rStyle w:val="6"/>
                <w:rFonts w:hint="default" w:ascii="Times New Roman" w:hAnsi="Times New Roman" w:cs="Times New Roman"/>
                <w:b w:val="0"/>
                <w:bCs w:val="0"/>
                <w:color w:val="auto"/>
                <w:kern w:val="2"/>
                <w:sz w:val="21"/>
                <w:szCs w:val="21"/>
                <w:lang w:val="en-US" w:eastAsia="zh-CN" w:bidi="ar-SA"/>
              </w:rPr>
              <w:t>新争取国家级改革试点项目数。</w:t>
            </w:r>
            <w:r>
              <w:rPr>
                <w:rStyle w:val="6"/>
                <w:rFonts w:hint="eastAsia" w:ascii="Times New Roman" w:hAnsi="Times New Roman" w:cs="Times New Roman"/>
                <w:b w:val="0"/>
                <w:bCs w:val="0"/>
                <w:color w:val="auto"/>
                <w:kern w:val="2"/>
                <w:sz w:val="21"/>
                <w:szCs w:val="21"/>
                <w:lang w:val="en-US" w:eastAsia="zh-CN" w:bidi="ar-SA"/>
              </w:rPr>
              <w:t>具体</w:t>
            </w:r>
            <w:r>
              <w:rPr>
                <w:rStyle w:val="6"/>
                <w:rFonts w:hint="default" w:ascii="Times New Roman" w:hAnsi="Times New Roman" w:cs="Times New Roman"/>
                <w:b w:val="0"/>
                <w:bCs w:val="0"/>
                <w:color w:val="auto"/>
                <w:kern w:val="2"/>
                <w:sz w:val="21"/>
                <w:szCs w:val="21"/>
                <w:lang w:val="en-US" w:eastAsia="zh-CN" w:bidi="ar-SA"/>
              </w:rPr>
              <w:t>包括：</w:t>
            </w:r>
          </w:p>
          <w:p>
            <w:pPr>
              <w:pStyle w:val="2"/>
              <w:ind w:left="0" w:leftChars="0" w:firstLine="420" w:firstLineChars="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①党中央、国务院或中办、国办批复部署。</w:t>
            </w:r>
          </w:p>
          <w:p>
            <w:pPr>
              <w:pStyle w:val="2"/>
              <w:ind w:left="0" w:leftChars="0" w:firstLine="420" w:firstLineChars="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②国家有关部委（含司局级）安排部署。</w:t>
            </w:r>
          </w:p>
          <w:p>
            <w:pPr>
              <w:pStyle w:val="2"/>
              <w:ind w:left="0" w:leftChars="0" w:firstLine="420" w:firstLineChars="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③全国人大常委会授权部署。</w:t>
            </w:r>
          </w:p>
        </w:tc>
        <w:tc>
          <w:tcPr>
            <w:tcW w:w="11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default" w:ascii="Times New Roman" w:hAnsi="Times New Roman" w:eastAsia="方正仿宋_GBK" w:cs="Times New Roman"/>
                <w:color w:val="auto"/>
                <w:sz w:val="21"/>
                <w:szCs w:val="21"/>
                <w:vertAlign w:val="baseline"/>
                <w:lang w:eastAsia="zh-CN"/>
              </w:rPr>
            </w:pPr>
            <w:r>
              <w:rPr>
                <w:rStyle w:val="6"/>
                <w:rFonts w:hint="default" w:ascii="Times New Roman" w:hAnsi="Times New Roman" w:cs="Times New Roman"/>
                <w:b w:val="0"/>
                <w:bCs w:val="0"/>
                <w:color w:val="auto"/>
                <w:kern w:val="2"/>
                <w:sz w:val="21"/>
                <w:szCs w:val="21"/>
                <w:lang w:val="en-US" w:eastAsia="zh-CN" w:bidi="ar-SA"/>
              </w:rPr>
              <w:t>季度</w:t>
            </w:r>
          </w:p>
        </w:tc>
        <w:tc>
          <w:tcPr>
            <w:tcW w:w="196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eastAsia="方正仿宋_GBK" w:cs="Times New Roman"/>
                <w:color w:val="auto"/>
                <w:sz w:val="21"/>
                <w:szCs w:val="21"/>
                <w:vertAlign w:val="baseline"/>
                <w:lang w:val="en-US" w:eastAsia="zh-CN"/>
              </w:rPr>
              <w:t>各区县、各试点主管部门（市委改革办负责审核）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1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b/>
                <w:bCs/>
                <w:kern w:val="2"/>
                <w:highlight w:val="none"/>
                <w:lang w:val="en-US" w:eastAsia="zh-CN" w:bidi="ar-SA"/>
              </w:rPr>
            </w:pPr>
            <w:r>
              <w:rPr>
                <w:rStyle w:val="6"/>
                <w:rFonts w:hint="eastAsia" w:ascii="Times New Roman" w:hAnsi="Times New Roman" w:eastAsia="方正楷体_GBK" w:cs="Times New Roman"/>
                <w:b/>
                <w:bCs/>
                <w:color w:val="auto"/>
                <w:sz w:val="21"/>
                <w:szCs w:val="21"/>
                <w:highlight w:val="none"/>
                <w:u w:val="none"/>
                <w:lang w:val="en-US" w:eastAsia="zh-CN"/>
              </w:rPr>
              <w:t>改革成效</w:t>
            </w:r>
          </w:p>
        </w:tc>
        <w:tc>
          <w:tcPr>
            <w:tcW w:w="65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eastAsia" w:ascii="Times New Roman" w:hAnsi="Times New Roman" w:eastAsia="方正仿宋_GBK" w:cs="Times New Roman"/>
                <w:b/>
                <w:bCs/>
                <w:color w:val="auto"/>
                <w:sz w:val="21"/>
                <w:szCs w:val="21"/>
                <w:highlight w:val="none"/>
                <w:u w:val="none"/>
                <w:lang w:val="en-US" w:eastAsia="zh-CN"/>
              </w:rPr>
              <w:t>9</w:t>
            </w:r>
          </w:p>
        </w:tc>
        <w:tc>
          <w:tcPr>
            <w:tcW w:w="20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eastAsia="方正仿宋_GBK" w:cs="Times New Roman"/>
                <w:b/>
                <w:bCs/>
                <w:color w:val="auto"/>
                <w:sz w:val="21"/>
                <w:szCs w:val="21"/>
                <w:highlight w:val="none"/>
                <w:u w:val="none"/>
                <w:lang w:val="en-US" w:eastAsia="zh-CN"/>
              </w:rPr>
            </w:pPr>
            <w:r>
              <w:rPr>
                <w:rStyle w:val="6"/>
                <w:rFonts w:hint="default" w:ascii="Times New Roman" w:hAnsi="Times New Roman" w:eastAsia="方正仿宋_GBK" w:cs="Times New Roman"/>
                <w:b/>
                <w:bCs/>
                <w:color w:val="auto"/>
                <w:sz w:val="21"/>
                <w:szCs w:val="21"/>
                <w:highlight w:val="none"/>
                <w:u w:val="none"/>
                <w:lang w:val="en-US" w:eastAsia="zh-CN"/>
              </w:rPr>
              <w:t>改革经验获全国性肯定评价</w:t>
            </w:r>
            <w:r>
              <w:rPr>
                <w:rStyle w:val="6"/>
                <w:rFonts w:hint="eastAsia" w:ascii="Times New Roman" w:hAnsi="Times New Roman" w:eastAsia="方正仿宋_GBK" w:cs="Times New Roman"/>
                <w:b/>
                <w:bCs/>
                <w:color w:val="auto"/>
                <w:sz w:val="21"/>
                <w:szCs w:val="21"/>
                <w:highlight w:val="none"/>
                <w:u w:val="none"/>
                <w:lang w:val="en-US" w:eastAsia="zh-CN"/>
              </w:rPr>
              <w:t>次数</w:t>
            </w:r>
          </w:p>
        </w:tc>
        <w:tc>
          <w:tcPr>
            <w:tcW w:w="7001" w:type="dxa"/>
            <w:tcBorders>
              <w:bottom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评价区县改革工作在国家层面获得肯定</w:t>
            </w:r>
            <w:r>
              <w:rPr>
                <w:rStyle w:val="6"/>
                <w:rFonts w:hint="eastAsia" w:ascii="Times New Roman" w:hAnsi="Times New Roman" w:cs="Times New Roman"/>
                <w:b w:val="0"/>
                <w:bCs w:val="0"/>
                <w:color w:val="auto"/>
                <w:kern w:val="2"/>
                <w:sz w:val="21"/>
                <w:szCs w:val="21"/>
                <w:lang w:val="en-US" w:eastAsia="zh-CN" w:bidi="ar-SA"/>
              </w:rPr>
              <w:t>数。</w:t>
            </w:r>
            <w:r>
              <w:rPr>
                <w:rStyle w:val="6"/>
                <w:rFonts w:hint="default" w:ascii="Times New Roman" w:hAnsi="Times New Roman" w:cs="Times New Roman"/>
                <w:b w:val="0"/>
                <w:bCs w:val="0"/>
                <w:color w:val="auto"/>
                <w:kern w:val="2"/>
                <w:sz w:val="21"/>
                <w:szCs w:val="21"/>
                <w:lang w:val="en-US" w:eastAsia="zh-CN" w:bidi="ar-SA"/>
              </w:rPr>
              <w:t>具体包括：</w:t>
            </w:r>
          </w:p>
          <w:p>
            <w:pPr>
              <w:ind w:firstLine="420" w:firstLineChars="20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①获党和国家领导人肯定性批示。</w:t>
            </w:r>
          </w:p>
          <w:p>
            <w:pPr>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 xml:space="preserve">    ②在党和国家领导人出席的全国性会议上作经验交流。</w:t>
            </w:r>
          </w:p>
          <w:p>
            <w:pPr>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 xml:space="preserve">    ③获党中央、国务院或中办、国办发文通报表彰。</w:t>
            </w:r>
          </w:p>
          <w:p>
            <w:pPr>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 xml:space="preserve">    ④在党中央、国务院或中办、国办、部委文件中得到肯定性表述。</w:t>
            </w:r>
          </w:p>
          <w:p>
            <w:pPr>
              <w:ind w:firstLine="420" w:firstLineChars="20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⑤在中央和国家有关部委主要领导出席的全国性会议上作经验交流。</w:t>
            </w:r>
          </w:p>
          <w:p>
            <w:pPr>
              <w:ind w:firstLine="420" w:firstLineChars="200"/>
              <w:rPr>
                <w:rStyle w:val="6"/>
                <w:rFonts w:hint="default" w:ascii="Times New Roman" w:hAnsi="Times New Roman" w:cs="Times New Roman"/>
                <w:b w:val="0"/>
                <w:bCs w:val="0"/>
                <w:color w:val="auto"/>
                <w:kern w:val="2"/>
                <w:sz w:val="21"/>
                <w:szCs w:val="21"/>
                <w:lang w:val="en-US" w:eastAsia="zh-CN" w:bidi="ar-SA"/>
              </w:rPr>
            </w:pPr>
            <w:r>
              <w:rPr>
                <w:rStyle w:val="6"/>
                <w:rFonts w:hint="default" w:ascii="Times New Roman" w:hAnsi="Times New Roman" w:cs="Times New Roman"/>
                <w:b w:val="0"/>
                <w:bCs w:val="0"/>
                <w:color w:val="auto"/>
                <w:kern w:val="2"/>
                <w:sz w:val="21"/>
                <w:szCs w:val="21"/>
                <w:lang w:val="en-US" w:eastAsia="zh-CN" w:bidi="ar-SA"/>
              </w:rPr>
              <w:t>⑥中央和国家有关部委发文明确向全国复制推广。</w:t>
            </w:r>
          </w:p>
          <w:p>
            <w:pPr>
              <w:ind w:firstLine="420" w:firstLineChars="200"/>
              <w:rPr>
                <w:rFonts w:hint="default"/>
                <w:lang w:val="en-US" w:eastAsia="zh-CN"/>
              </w:rPr>
            </w:pPr>
            <w:r>
              <w:rPr>
                <w:rStyle w:val="6"/>
                <w:rFonts w:hint="default" w:ascii="Times New Roman" w:hAnsi="Times New Roman" w:cs="Times New Roman"/>
                <w:b w:val="0"/>
                <w:bCs w:val="0"/>
                <w:color w:val="auto"/>
                <w:kern w:val="2"/>
                <w:sz w:val="21"/>
                <w:szCs w:val="21"/>
                <w:lang w:val="en-US" w:eastAsia="zh-CN" w:bidi="ar-SA"/>
              </w:rPr>
              <w:t>⑦中央改革办《改革情况交流》单篇刊载。</w:t>
            </w:r>
          </w:p>
        </w:tc>
        <w:tc>
          <w:tcPr>
            <w:tcW w:w="112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季度</w:t>
            </w:r>
          </w:p>
        </w:tc>
        <w:tc>
          <w:tcPr>
            <w:tcW w:w="196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各区县</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center"/>
              <w:textAlignment w:val="auto"/>
              <w:outlineLvl w:val="9"/>
              <w:rPr>
                <w:rStyle w:val="6"/>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eastAsia="方正仿宋_GBK" w:cs="Times New Roman"/>
                <w:color w:val="auto"/>
                <w:sz w:val="21"/>
                <w:szCs w:val="21"/>
                <w:vertAlign w:val="baseline"/>
                <w:lang w:val="en-US" w:eastAsia="zh-CN"/>
              </w:rPr>
              <w:t>（市委改革办负责审核）</w:t>
            </w:r>
          </w:p>
        </w:tc>
      </w:tr>
    </w:tbl>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4062D"/>
    <w:rsid w:val="0C7A0A04"/>
    <w:rsid w:val="2EB4062D"/>
    <w:rsid w:val="3BFCD23C"/>
    <w:rsid w:val="3DF976AB"/>
    <w:rsid w:val="3F5D3C8E"/>
    <w:rsid w:val="3FCFBAE5"/>
    <w:rsid w:val="5FDCEAD2"/>
    <w:rsid w:val="69DD9572"/>
    <w:rsid w:val="6DBB37E5"/>
    <w:rsid w:val="73F73427"/>
    <w:rsid w:val="777FFF31"/>
    <w:rsid w:val="79BB82C9"/>
    <w:rsid w:val="7DBB1378"/>
    <w:rsid w:val="7DDD8AE4"/>
    <w:rsid w:val="7DF84501"/>
    <w:rsid w:val="7EFC969B"/>
    <w:rsid w:val="7EFF08B2"/>
    <w:rsid w:val="7EFFBC54"/>
    <w:rsid w:val="7F74B3E5"/>
    <w:rsid w:val="7FFD301B"/>
    <w:rsid w:val="A37E4FEB"/>
    <w:rsid w:val="B6DBB9C3"/>
    <w:rsid w:val="B77FD9B9"/>
    <w:rsid w:val="BF4B83DD"/>
    <w:rsid w:val="DCF17918"/>
    <w:rsid w:val="DF7E2417"/>
    <w:rsid w:val="E1DB2018"/>
    <w:rsid w:val="E37F1F3B"/>
    <w:rsid w:val="EBCD0255"/>
    <w:rsid w:val="EFFAEFFB"/>
    <w:rsid w:val="F5FC9602"/>
    <w:rsid w:val="F77F0E70"/>
    <w:rsid w:val="FADFBF9A"/>
    <w:rsid w:val="FB7779DD"/>
    <w:rsid w:val="FBBF9D4A"/>
    <w:rsid w:val="FDD1D365"/>
    <w:rsid w:val="FEDE3256"/>
    <w:rsid w:val="FFCFB9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suppressAutoHyphens/>
      <w:ind w:firstLine="420" w:firstLineChars="200"/>
      <w:jc w:val="both"/>
    </w:pPr>
    <w:rPr>
      <w:rFonts w:ascii="Calibri" w:hAnsi="Calibri" w:eastAsia="宋体" w:cs="Times New Roman"/>
      <w:kern w:val="2"/>
      <w:sz w:val="21"/>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7"/>
    <w:qFormat/>
    <w:uiPriority w:val="0"/>
    <w:rPr>
      <w:rFonts w:ascii="方正仿宋_GBK" w:hAnsi="方正仿宋_GBK" w:eastAsia="方正仿宋_GBK" w:cs="方正仿宋_GBK"/>
      <w:color w:val="000000"/>
      <w:sz w:val="24"/>
      <w:szCs w:val="24"/>
      <w:u w:val="none"/>
    </w:rPr>
  </w:style>
  <w:style w:type="character" w:customStyle="1" w:styleId="7">
    <w:name w:val="默认段落字体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2024-02-22T16:12:00Z</dcterms:created>
  <dc:creator>李超杰</dc:creator>
  <cp:lastModifiedBy>user</cp:lastModifiedBy>
  <dcterms:modified xsi:type="dcterms:W3CDTF">2024-03-01T10:11:00Z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62681DF96C1A2CC08C1BD365A9A64B97</vt:lpwstr>
  </property>
</Properties>
</file>