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/>
          <w:bCs/>
          <w:sz w:val="44"/>
          <w:szCs w:val="44"/>
          <w:lang w:val="en-US" w:eastAsia="zh-CN"/>
        </w:rPr>
        <w:t>改革报表分析报告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3"/>
          <w:szCs w:val="33"/>
        </w:rPr>
        <w:t>（2023年第</w:t>
      </w:r>
      <w:r>
        <w:rPr>
          <w:rFonts w:hint="eastAsia" w:ascii="Times New Roman" w:hAnsi="Times New Roman" w:eastAsia="方正楷体_GBK" w:cs="Times New Roman"/>
          <w:bCs/>
          <w:sz w:val="33"/>
          <w:szCs w:val="33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Cs/>
          <w:sz w:val="33"/>
          <w:szCs w:val="33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改革报表（区县）共设置一级指标4个、二级指标7个。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2023年一季度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综合评价指数最高为93.87分，最低分为85.19分，平均得分89分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。得分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排名前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的区县是璧山区、江北区、沙坪坝区、九龙坡区、永川区，排名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位的区县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是彭水县、秀山县、石柱县、垫江县、城口县。</w:t>
      </w:r>
    </w:p>
    <w:tbl>
      <w:tblPr>
        <w:tblStyle w:val="1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800"/>
        <w:gridCol w:w="1421"/>
        <w:gridCol w:w="1"/>
        <w:gridCol w:w="1410"/>
        <w:gridCol w:w="1402"/>
        <w:gridCol w:w="138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  <w:t>区县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  <w:t>得分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  <w:t>区县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28"/>
                <w:szCs w:val="28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前5名</w:t>
            </w:r>
          </w:p>
        </w:tc>
        <w:tc>
          <w:tcPr>
            <w:tcW w:w="41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后5名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璧山区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93.87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江北区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93.24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沙坪坝区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92.96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九龙坡区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92.57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永川区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二、主要特点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3"/>
          <w:szCs w:val="33"/>
          <w:lang w:val="en-US" w:eastAsia="zh-CN"/>
        </w:rPr>
        <w:t>（一）改革试点推进有力有效。</w:t>
      </w:r>
      <w:r>
        <w:rPr>
          <w:rFonts w:hint="eastAsia" w:ascii="Times New Roman" w:hAnsi="Times New Roman" w:eastAsia="仿宋" w:cs="仿宋"/>
          <w:sz w:val="33"/>
          <w:szCs w:val="33"/>
          <w:lang w:val="en-US" w:eastAsia="zh-CN"/>
        </w:rPr>
        <w:t>“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改革落实力</w:t>
      </w:r>
      <w:r>
        <w:rPr>
          <w:rFonts w:hint="default" w:ascii="Times New Roman" w:hAnsi="Times New Roman" w:eastAsia="仿宋" w:cs="仿宋"/>
          <w:sz w:val="33"/>
          <w:szCs w:val="33"/>
          <w:lang w:val="en-US" w:eastAsia="zh-CN"/>
        </w:rPr>
        <w:t>”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指标主要考察区县承接国家级、市级改革试点的数量和推进的效果。从报表数据看，各区县始终坚持把试点作为改革的重要任务和方法，积极争取改革试点项目，扎实推进改革试点任务，取得了积极成效。</w:t>
      </w:r>
      <w:r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  <w:t>从项目总量看，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党的十九大以来截至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3"/>
          <w:szCs w:val="33"/>
          <w:u w:val="none"/>
          <w:lang w:val="en-US" w:eastAsia="zh-CN" w:bidi="ar"/>
        </w:rPr>
        <w:t>2023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年一季度末，各区县共承接国家级改革试点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3"/>
          <w:szCs w:val="33"/>
          <w:u w:val="none"/>
          <w:lang w:val="en-US" w:eastAsia="zh-CN" w:bidi="ar"/>
        </w:rPr>
        <w:t>249项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，承接的国家级试点项目数呈逐年上升趋势，其中，今年一季度新承接国家级改革试点11项、比去年同期多2项；各区县共争取开展市级试点218项，其中，今年一季度新部署市级改革试点8项，较去年同期少部署7项（详见图一）。</w:t>
      </w:r>
      <w:r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  <w:t>从推进效果看，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经梳理统计，各区县通过承接国家和市级改革试点，累计推动形成制度成果1276个、搭建工作平台433个、上线应用场景81个，其中，今年一季度分别新增104个、34个、9个。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60" w:firstLineChars="200"/>
        <w:jc w:val="center"/>
        <w:textAlignment w:val="auto"/>
        <w:rPr>
          <w:rFonts w:hint="default" w:ascii="Times New Roman" w:hAnsi="Times New Roman" w:eastAsia="方正黑体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图一：我市试点项目总量变化趋势图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center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131445</wp:posOffset>
            </wp:positionV>
            <wp:extent cx="5369560" cy="3375660"/>
            <wp:effectExtent l="0" t="0" r="10160" b="7620"/>
            <wp:wrapNone/>
            <wp:docPr id="5" name="图片 5" descr="绘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绘图3"/>
                    <pic:cNvPicPr>
                      <a:picLocks noChangeAspect="1"/>
                    </pic:cNvPicPr>
                  </pic:nvPicPr>
                  <pic:blipFill>
                    <a:blip r:embed="rId5"/>
                    <a:srcRect l="16279" t="20635" r="34940" b="39937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/>
        </w:rPr>
      </w:pPr>
    </w:p>
    <w:p>
      <w:p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pStyle w:val="7"/>
        <w:rPr>
          <w:rFonts w:hint="eastAsia" w:ascii="Times New Roman" w:hAnsi="Times New Roman"/>
          <w:lang w:val="en-US" w:eastAsia="zh-CN"/>
        </w:rPr>
      </w:pPr>
    </w:p>
    <w:p>
      <w:pPr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3"/>
          <w:szCs w:val="33"/>
          <w:lang w:val="en-US" w:eastAsia="zh-CN"/>
        </w:rPr>
        <w:t>（二）改革品牌创建效果良好。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截至本季度末，全市各区县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改革经验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累计获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全国性肯定评价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获全市推广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被5家中央媒体深度专题报道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333次，分别为126次、85次、122次。各领域改革经验获肯定、推广、报道次数排前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的区县详见下表。</w:t>
      </w:r>
    </w:p>
    <w:p>
      <w:pPr>
        <w:pStyle w:val="11"/>
        <w:rPr>
          <w:rFonts w:hint="default" w:ascii="Times New Roman" w:hAnsi="Times New Roman"/>
          <w:lang w:val="en-US" w:eastAsia="zh-CN"/>
        </w:rPr>
      </w:pPr>
    </w:p>
    <w:tbl>
      <w:tblPr>
        <w:tblStyle w:val="1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451"/>
        <w:gridCol w:w="1685"/>
        <w:gridCol w:w="1569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4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获肯定、推广、报道总次数</w:t>
            </w:r>
          </w:p>
        </w:tc>
        <w:tc>
          <w:tcPr>
            <w:tcW w:w="57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排前3位的区县及次数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党建统领</w:t>
            </w:r>
          </w:p>
        </w:tc>
        <w:tc>
          <w:tcPr>
            <w:tcW w:w="14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24次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璧山区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（4次）</w:t>
            </w:r>
          </w:p>
        </w:tc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大渡口区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（2次）</w:t>
            </w:r>
          </w:p>
        </w:tc>
        <w:tc>
          <w:tcPr>
            <w:tcW w:w="244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江北区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（2次）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经济发展</w:t>
            </w:r>
          </w:p>
        </w:tc>
        <w:tc>
          <w:tcPr>
            <w:tcW w:w="14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214次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九龙坡区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（15次）</w:t>
            </w:r>
          </w:p>
        </w:tc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合川区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（13次）</w:t>
            </w:r>
          </w:p>
        </w:tc>
        <w:tc>
          <w:tcPr>
            <w:tcW w:w="244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涪陵区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（11次）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社会民生</w:t>
            </w:r>
          </w:p>
        </w:tc>
        <w:tc>
          <w:tcPr>
            <w:tcW w:w="14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45次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九龙坡区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（7次）</w:t>
            </w:r>
          </w:p>
        </w:tc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江北区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（5次）</w:t>
            </w:r>
          </w:p>
        </w:tc>
        <w:tc>
          <w:tcPr>
            <w:tcW w:w="244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渝中区等3个区县（各3次）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文化建设</w:t>
            </w:r>
          </w:p>
        </w:tc>
        <w:tc>
          <w:tcPr>
            <w:tcW w:w="14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12次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铜梁区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（2次）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南岸区等10个区县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（各1次）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平安法治</w:t>
            </w:r>
          </w:p>
        </w:tc>
        <w:tc>
          <w:tcPr>
            <w:tcW w:w="14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29次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江北区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（4次）</w:t>
            </w:r>
          </w:p>
        </w:tc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合川区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（3次）</w:t>
            </w:r>
          </w:p>
        </w:tc>
        <w:tc>
          <w:tcPr>
            <w:tcW w:w="244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28"/>
                <w:szCs w:val="28"/>
                <w:lang w:val="en-US" w:eastAsia="zh-CN"/>
              </w:rPr>
              <w:t>大渡口区等3个区县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（各2次）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民主法制</w:t>
            </w:r>
          </w:p>
        </w:tc>
        <w:tc>
          <w:tcPr>
            <w:tcW w:w="145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9次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沙坪坝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（6次）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南川区、璧山区、酉阳县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（各1次）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3"/>
          <w:szCs w:val="33"/>
          <w:lang w:val="en-US" w:eastAsia="zh-CN"/>
        </w:rPr>
        <w:t>（三）改革满意度总体优良。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为检视各区县改革工作惠民有感情况，市社情民意调查中心采取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计算机辅助电话调查方式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开展2023年第一季度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区县改革成效满意度民意调查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从经济社会发展、民主政治、文化惠民、平安法治、党建统领等5个方面设置13项指标，共采集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有效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问卷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3.2万余份，全市综合得分85.91分，总体处优良水平，市民对区县改革工作整体满意。排名前三的分别为璧山区91.02分、武隆区90.38分、忠县88.7分。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 w:firstLineChars="200"/>
        <w:jc w:val="both"/>
        <w:textAlignment w:val="auto"/>
        <w:rPr>
          <w:rFonts w:hint="eastAsia" w:ascii="Times New Roman" w:hAnsi="Times New Roman" w:eastAsia="方正黑体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三、值得关注的问题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2"/>
          <w:sz w:val="33"/>
          <w:szCs w:val="33"/>
          <w:lang w:val="en-US" w:eastAsia="zh-CN" w:bidi="ar-SA"/>
        </w:rPr>
        <w:t>（一）改革试点任务分布不均衡。</w:t>
      </w:r>
      <w:r>
        <w:rPr>
          <w:rFonts w:hint="eastAsia" w:ascii="Times New Roman" w:hAnsi="Times New Roman" w:eastAsia="方正黑体_GBK" w:cs="方正黑体_GBK"/>
          <w:b w:val="0"/>
          <w:bCs w:val="0"/>
          <w:kern w:val="2"/>
          <w:sz w:val="33"/>
          <w:szCs w:val="33"/>
          <w:lang w:val="en-US" w:eastAsia="zh-CN" w:bidi="ar-SA"/>
        </w:rPr>
        <w:t>从各区县承接的试点数量看，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lang w:val="en-US" w:eastAsia="zh-CN" w:bidi="ar-SA"/>
        </w:rPr>
        <w:t>党的十九大以来，承接国家级试点项目最多的区县为43项、最少的区县为3项。</w:t>
      </w:r>
      <w:r>
        <w:rPr>
          <w:rFonts w:hint="eastAsia" w:ascii="Times New Roman" w:hAnsi="Times New Roman" w:eastAsia="方正黑体_GBK" w:cs="方正黑体_GBK"/>
          <w:b w:val="0"/>
          <w:bCs w:val="0"/>
          <w:kern w:val="2"/>
          <w:sz w:val="33"/>
          <w:szCs w:val="33"/>
          <w:lang w:val="en-US" w:eastAsia="zh-CN" w:bidi="ar-SA"/>
        </w:rPr>
        <w:t>从试点的领域分布看，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lang w:val="en-US" w:eastAsia="zh-CN" w:bidi="ar-SA"/>
        </w:rPr>
        <w:t>数量最多的为经济发展领域，国家和市级试点分别为136项、100项，民主法制领域分别为2项、4项。</w:t>
      </w:r>
      <w:r>
        <w:rPr>
          <w:rFonts w:hint="eastAsia" w:ascii="Times New Roman" w:hAnsi="Times New Roman" w:eastAsia="方正黑体_GBK" w:cs="方正黑体_GBK"/>
          <w:b w:val="0"/>
          <w:bCs w:val="0"/>
          <w:kern w:val="2"/>
          <w:sz w:val="33"/>
          <w:szCs w:val="33"/>
          <w:lang w:val="en-US" w:eastAsia="zh-CN" w:bidi="ar-SA"/>
        </w:rPr>
        <w:t>建议：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3"/>
          <w:szCs w:val="33"/>
          <w:lang w:val="en-US" w:eastAsia="zh-CN" w:bidi="ar-SA"/>
        </w:rPr>
        <w:t>一是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lang w:val="en-US" w:eastAsia="zh-CN" w:bidi="ar-SA"/>
        </w:rPr>
        <w:t>有关市级部门部署改革试点任务时，在满足条件基础上向试点任务较少区县适当倾斜。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3"/>
          <w:szCs w:val="33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lang w:val="en-US" w:eastAsia="zh-CN" w:bidi="ar-SA"/>
        </w:rPr>
        <w:t>民主法制领域要谋划推出更多试点项目，激发基层创新创造活力。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2"/>
          <w:sz w:val="33"/>
          <w:szCs w:val="33"/>
          <w:lang w:val="en-US" w:eastAsia="zh-CN" w:bidi="ar-SA"/>
        </w:rPr>
        <w:t>（二）改革满意度地域差距较大、个别单项指标表现不佳</w:t>
      </w:r>
      <w:bookmarkStart w:id="0" w:name="_GoBack"/>
      <w:bookmarkEnd w:id="0"/>
      <w:r>
        <w:rPr>
          <w:rFonts w:hint="eastAsia" w:ascii="Times New Roman" w:hAnsi="Times New Roman" w:eastAsia="方正楷体_GBK" w:cs="方正楷体_GBK"/>
          <w:b w:val="0"/>
          <w:bCs w:val="0"/>
          <w:kern w:val="2"/>
          <w:sz w:val="33"/>
          <w:szCs w:val="33"/>
          <w:lang w:val="en-US" w:eastAsia="zh-CN" w:bidi="ar-SA"/>
        </w:rPr>
        <w:t>。</w:t>
      </w:r>
      <w:r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  <w:t>从各区县得分看，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中心城区和渝西八区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不管是综合得分还是核心指标得分整体都弱于其他2个片区，中心城区更为明显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。</w:t>
      </w:r>
      <w:r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  <w:t>从各领域平均得分看，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3"/>
          <w:szCs w:val="33"/>
          <w:lang w:val="en-US" w:eastAsia="zh-CN" w:bidi="ar-SA"/>
        </w:rPr>
        <w:t>经济社会发展领域所属5个单项指标中“生态环境”较好，“教育环境”和“招商引资”次之，“医疗卫生服务”和“就业创业环境”排后；民主政治领域所属2个单项指标得分相对较低。</w:t>
      </w:r>
      <w:r>
        <w:rPr>
          <w:rFonts w:hint="eastAsia" w:ascii="Times New Roman" w:hAnsi="Times New Roman" w:eastAsia="方正黑体_GBK" w:cs="方正黑体_GBK"/>
          <w:b w:val="0"/>
          <w:bCs w:val="0"/>
          <w:kern w:val="2"/>
          <w:sz w:val="33"/>
          <w:szCs w:val="33"/>
          <w:lang w:val="en-US" w:eastAsia="zh-CN" w:bidi="ar-SA"/>
        </w:rPr>
        <w:t>建议：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各区县根据调查结果并结合自身工作实际，进一步找准、找实改革工作突破口，以点破面，提高改革工作成效，推进改革工作向纵深发展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向基层延伸。</w:t>
      </w:r>
    </w:p>
    <w:sectPr>
      <w:footerReference r:id="rId3" w:type="default"/>
      <w:pgSz w:w="11906" w:h="16838"/>
      <w:pgMar w:top="1814" w:right="1701" w:bottom="1814" w:left="1701" w:header="851" w:footer="1276" w:gutter="0"/>
      <w:pgNumType w:fmt="numberInDash"/>
      <w:cols w:space="0" w:num="1"/>
      <w:rtlGutter w:val="0"/>
      <w:docGrid w:type="lines" w:linePitch="314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348">
      <wne:acd wne:acdName="acd1"/>
    </wne:keymap>
    <wne:keymap wne:kcmPrimary="034B">
      <wne:acd wne:acdName="acd2"/>
    </wne:keymap>
  </wne:keymaps>
  <wne:acds>
    <wne:acd wne:argValue="AQAAAAAA" wne:acdName="acd0" wne:fciIndexBasedOn="0065"/>
    <wne:acd wne:argValue="AQAAAAEA" wne:acdName="acd1" wne:fciIndexBasedOn="0065"/>
    <wne:acd wne:argValue="AQAAAAIA" wne:acdName="acd2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3NzYwMjE5MGNmZjFiODNlZTFlMzQ2NjIyZTQ4YjgifQ=="/>
  </w:docVars>
  <w:rsids>
    <w:rsidRoot w:val="001C4425"/>
    <w:rsid w:val="0003424D"/>
    <w:rsid w:val="00065E5B"/>
    <w:rsid w:val="000876ED"/>
    <w:rsid w:val="000A5AB5"/>
    <w:rsid w:val="00186202"/>
    <w:rsid w:val="001C4425"/>
    <w:rsid w:val="001E37B7"/>
    <w:rsid w:val="002205C6"/>
    <w:rsid w:val="0029140E"/>
    <w:rsid w:val="002C72B2"/>
    <w:rsid w:val="002F1518"/>
    <w:rsid w:val="00325581"/>
    <w:rsid w:val="0036153A"/>
    <w:rsid w:val="003F1ED6"/>
    <w:rsid w:val="00421C99"/>
    <w:rsid w:val="0047486E"/>
    <w:rsid w:val="004D63CB"/>
    <w:rsid w:val="00541A48"/>
    <w:rsid w:val="005E4F39"/>
    <w:rsid w:val="006355B2"/>
    <w:rsid w:val="006C029F"/>
    <w:rsid w:val="0070400F"/>
    <w:rsid w:val="007A5680"/>
    <w:rsid w:val="00871651"/>
    <w:rsid w:val="0089180A"/>
    <w:rsid w:val="008A0E82"/>
    <w:rsid w:val="0092400F"/>
    <w:rsid w:val="00942DD5"/>
    <w:rsid w:val="009718C4"/>
    <w:rsid w:val="00A164C2"/>
    <w:rsid w:val="00A34A77"/>
    <w:rsid w:val="00AC28DE"/>
    <w:rsid w:val="00C245F2"/>
    <w:rsid w:val="00D23A49"/>
    <w:rsid w:val="00D26D5D"/>
    <w:rsid w:val="00DF388D"/>
    <w:rsid w:val="00EC3895"/>
    <w:rsid w:val="00EC5CF9"/>
    <w:rsid w:val="00F006C8"/>
    <w:rsid w:val="00F23719"/>
    <w:rsid w:val="014A1FDA"/>
    <w:rsid w:val="01847205"/>
    <w:rsid w:val="02772DAE"/>
    <w:rsid w:val="02D93350"/>
    <w:rsid w:val="02DC07C0"/>
    <w:rsid w:val="03245E44"/>
    <w:rsid w:val="038C575E"/>
    <w:rsid w:val="03DD0363"/>
    <w:rsid w:val="04CF4F3E"/>
    <w:rsid w:val="04D12D6C"/>
    <w:rsid w:val="0592314F"/>
    <w:rsid w:val="05E836E4"/>
    <w:rsid w:val="06BC6527"/>
    <w:rsid w:val="075E04B0"/>
    <w:rsid w:val="07CA171B"/>
    <w:rsid w:val="08233C0B"/>
    <w:rsid w:val="08404F2B"/>
    <w:rsid w:val="08446C0B"/>
    <w:rsid w:val="092263E9"/>
    <w:rsid w:val="093C6C3E"/>
    <w:rsid w:val="09D74784"/>
    <w:rsid w:val="0AC52027"/>
    <w:rsid w:val="0B662F05"/>
    <w:rsid w:val="0B9C7AC7"/>
    <w:rsid w:val="0C747FD8"/>
    <w:rsid w:val="0C91625B"/>
    <w:rsid w:val="0D8F33BE"/>
    <w:rsid w:val="0E4D6544"/>
    <w:rsid w:val="0F2C1919"/>
    <w:rsid w:val="0FA05768"/>
    <w:rsid w:val="0FB67BDA"/>
    <w:rsid w:val="100A1137"/>
    <w:rsid w:val="100C6B51"/>
    <w:rsid w:val="103A249E"/>
    <w:rsid w:val="103A64E6"/>
    <w:rsid w:val="106C1F4B"/>
    <w:rsid w:val="10926821"/>
    <w:rsid w:val="11823EC9"/>
    <w:rsid w:val="119A3C7B"/>
    <w:rsid w:val="11F623E5"/>
    <w:rsid w:val="11FB2640"/>
    <w:rsid w:val="132B2F73"/>
    <w:rsid w:val="1330168A"/>
    <w:rsid w:val="14597C29"/>
    <w:rsid w:val="14D6137A"/>
    <w:rsid w:val="14F7697C"/>
    <w:rsid w:val="15E769F0"/>
    <w:rsid w:val="15F80BFE"/>
    <w:rsid w:val="17345CCB"/>
    <w:rsid w:val="17375E8E"/>
    <w:rsid w:val="17A00324"/>
    <w:rsid w:val="17DD43FF"/>
    <w:rsid w:val="189142F4"/>
    <w:rsid w:val="18E32865"/>
    <w:rsid w:val="192C06DB"/>
    <w:rsid w:val="194F7996"/>
    <w:rsid w:val="1952487F"/>
    <w:rsid w:val="19AD5FBB"/>
    <w:rsid w:val="19E844AF"/>
    <w:rsid w:val="1B306DB3"/>
    <w:rsid w:val="1B6111C4"/>
    <w:rsid w:val="1B87212D"/>
    <w:rsid w:val="1BFA0748"/>
    <w:rsid w:val="1C5839E4"/>
    <w:rsid w:val="1CAA3059"/>
    <w:rsid w:val="1CFF7F3B"/>
    <w:rsid w:val="1DAA3FA7"/>
    <w:rsid w:val="1DB37A46"/>
    <w:rsid w:val="1EC14ABC"/>
    <w:rsid w:val="1F682653"/>
    <w:rsid w:val="20753439"/>
    <w:rsid w:val="208D79D2"/>
    <w:rsid w:val="211F1734"/>
    <w:rsid w:val="21957C48"/>
    <w:rsid w:val="223A24DC"/>
    <w:rsid w:val="224C47AB"/>
    <w:rsid w:val="2331054B"/>
    <w:rsid w:val="23D27DDE"/>
    <w:rsid w:val="242D2A22"/>
    <w:rsid w:val="245665E9"/>
    <w:rsid w:val="24964900"/>
    <w:rsid w:val="24A42710"/>
    <w:rsid w:val="25180974"/>
    <w:rsid w:val="25317C88"/>
    <w:rsid w:val="254C6369"/>
    <w:rsid w:val="255527CF"/>
    <w:rsid w:val="25776B5D"/>
    <w:rsid w:val="262434B5"/>
    <w:rsid w:val="26302A27"/>
    <w:rsid w:val="273F743F"/>
    <w:rsid w:val="274824B3"/>
    <w:rsid w:val="2794527C"/>
    <w:rsid w:val="27F93A54"/>
    <w:rsid w:val="28292E99"/>
    <w:rsid w:val="285C23C2"/>
    <w:rsid w:val="289528A1"/>
    <w:rsid w:val="28A0571D"/>
    <w:rsid w:val="29271A09"/>
    <w:rsid w:val="2940493E"/>
    <w:rsid w:val="295D104C"/>
    <w:rsid w:val="2AA131BA"/>
    <w:rsid w:val="2AE41042"/>
    <w:rsid w:val="2BD81F62"/>
    <w:rsid w:val="2C4E7F91"/>
    <w:rsid w:val="2DD37206"/>
    <w:rsid w:val="2E162CCD"/>
    <w:rsid w:val="2E3947CE"/>
    <w:rsid w:val="2E601705"/>
    <w:rsid w:val="2E7D64D4"/>
    <w:rsid w:val="2EA53B2A"/>
    <w:rsid w:val="2F1C067C"/>
    <w:rsid w:val="2FFF69FF"/>
    <w:rsid w:val="30002DCD"/>
    <w:rsid w:val="30C3638E"/>
    <w:rsid w:val="31E77B2C"/>
    <w:rsid w:val="3291207C"/>
    <w:rsid w:val="32CB7534"/>
    <w:rsid w:val="32DF4B39"/>
    <w:rsid w:val="33680D19"/>
    <w:rsid w:val="33AA0E4C"/>
    <w:rsid w:val="33B10912"/>
    <w:rsid w:val="34360904"/>
    <w:rsid w:val="349166A3"/>
    <w:rsid w:val="34A325E0"/>
    <w:rsid w:val="34DF67B8"/>
    <w:rsid w:val="34F778D0"/>
    <w:rsid w:val="358B6E63"/>
    <w:rsid w:val="369A4561"/>
    <w:rsid w:val="36DF5796"/>
    <w:rsid w:val="37AE7734"/>
    <w:rsid w:val="382673F4"/>
    <w:rsid w:val="38A4530A"/>
    <w:rsid w:val="39043AE6"/>
    <w:rsid w:val="39AD4BDD"/>
    <w:rsid w:val="39F10877"/>
    <w:rsid w:val="39FD38CD"/>
    <w:rsid w:val="3B7841E9"/>
    <w:rsid w:val="3BC81F3C"/>
    <w:rsid w:val="3BE7E291"/>
    <w:rsid w:val="3C8F34FE"/>
    <w:rsid w:val="3CD114C9"/>
    <w:rsid w:val="3D0C2341"/>
    <w:rsid w:val="3D1B349C"/>
    <w:rsid w:val="3D2E5444"/>
    <w:rsid w:val="3DF80EEB"/>
    <w:rsid w:val="3E6F5651"/>
    <w:rsid w:val="3F9A5BDF"/>
    <w:rsid w:val="3FB3D831"/>
    <w:rsid w:val="401C2DFE"/>
    <w:rsid w:val="40C1291C"/>
    <w:rsid w:val="42B957FA"/>
    <w:rsid w:val="4303578B"/>
    <w:rsid w:val="43474B24"/>
    <w:rsid w:val="441C404D"/>
    <w:rsid w:val="443229A5"/>
    <w:rsid w:val="448259B3"/>
    <w:rsid w:val="45347258"/>
    <w:rsid w:val="456F5C51"/>
    <w:rsid w:val="45B10D25"/>
    <w:rsid w:val="46487606"/>
    <w:rsid w:val="46496C32"/>
    <w:rsid w:val="467A6357"/>
    <w:rsid w:val="47562215"/>
    <w:rsid w:val="47F11729"/>
    <w:rsid w:val="487C587B"/>
    <w:rsid w:val="493F5D75"/>
    <w:rsid w:val="49DE1FB0"/>
    <w:rsid w:val="4A2B5925"/>
    <w:rsid w:val="4A834293"/>
    <w:rsid w:val="4AF858DE"/>
    <w:rsid w:val="4B6E06C2"/>
    <w:rsid w:val="4B9F6E4A"/>
    <w:rsid w:val="4BC52D55"/>
    <w:rsid w:val="4C8F1529"/>
    <w:rsid w:val="4F196EFE"/>
    <w:rsid w:val="4F503DF0"/>
    <w:rsid w:val="4F527BD3"/>
    <w:rsid w:val="506970E8"/>
    <w:rsid w:val="50837961"/>
    <w:rsid w:val="50850D04"/>
    <w:rsid w:val="513E7F7C"/>
    <w:rsid w:val="5187285A"/>
    <w:rsid w:val="51962A9D"/>
    <w:rsid w:val="51B36CFC"/>
    <w:rsid w:val="52875299"/>
    <w:rsid w:val="5369191B"/>
    <w:rsid w:val="537C4CB4"/>
    <w:rsid w:val="544B69C8"/>
    <w:rsid w:val="54BE7214"/>
    <w:rsid w:val="552A7962"/>
    <w:rsid w:val="559B112A"/>
    <w:rsid w:val="560426CB"/>
    <w:rsid w:val="562B2978"/>
    <w:rsid w:val="562C577E"/>
    <w:rsid w:val="5647129A"/>
    <w:rsid w:val="568B722A"/>
    <w:rsid w:val="57197B21"/>
    <w:rsid w:val="57C637DE"/>
    <w:rsid w:val="57EF2F07"/>
    <w:rsid w:val="5905782B"/>
    <w:rsid w:val="5A3572F7"/>
    <w:rsid w:val="5A7FDBA4"/>
    <w:rsid w:val="5AAE6BFF"/>
    <w:rsid w:val="5AC81FAD"/>
    <w:rsid w:val="5B81476F"/>
    <w:rsid w:val="5B89626C"/>
    <w:rsid w:val="5C01486F"/>
    <w:rsid w:val="5C646A70"/>
    <w:rsid w:val="5C77090D"/>
    <w:rsid w:val="5DDF75DF"/>
    <w:rsid w:val="5DF8393B"/>
    <w:rsid w:val="5E670A76"/>
    <w:rsid w:val="5F830B05"/>
    <w:rsid w:val="5FBB423C"/>
    <w:rsid w:val="5FBEE24B"/>
    <w:rsid w:val="5FFE4D1A"/>
    <w:rsid w:val="600D2FC6"/>
    <w:rsid w:val="608F395C"/>
    <w:rsid w:val="60A97CA7"/>
    <w:rsid w:val="6105633A"/>
    <w:rsid w:val="61D43510"/>
    <w:rsid w:val="61DD7473"/>
    <w:rsid w:val="621F3DF2"/>
    <w:rsid w:val="63161953"/>
    <w:rsid w:val="636C5760"/>
    <w:rsid w:val="64346A71"/>
    <w:rsid w:val="64630A65"/>
    <w:rsid w:val="64677338"/>
    <w:rsid w:val="64765667"/>
    <w:rsid w:val="648C2721"/>
    <w:rsid w:val="65290D3A"/>
    <w:rsid w:val="65582A2F"/>
    <w:rsid w:val="65644F35"/>
    <w:rsid w:val="65D2504A"/>
    <w:rsid w:val="65DE4CE7"/>
    <w:rsid w:val="667959FB"/>
    <w:rsid w:val="67020241"/>
    <w:rsid w:val="671B2FF1"/>
    <w:rsid w:val="67345AF7"/>
    <w:rsid w:val="68455B39"/>
    <w:rsid w:val="68A82C65"/>
    <w:rsid w:val="693C7395"/>
    <w:rsid w:val="69CF0993"/>
    <w:rsid w:val="6A9875BC"/>
    <w:rsid w:val="6ACD3BAA"/>
    <w:rsid w:val="6AEF5B9A"/>
    <w:rsid w:val="6B7C60B6"/>
    <w:rsid w:val="6B7E7D5E"/>
    <w:rsid w:val="6C8917F3"/>
    <w:rsid w:val="6D083A72"/>
    <w:rsid w:val="6D1859DA"/>
    <w:rsid w:val="6D7876E6"/>
    <w:rsid w:val="6E2920F9"/>
    <w:rsid w:val="6E7612CF"/>
    <w:rsid w:val="6EB47C84"/>
    <w:rsid w:val="6EC0156E"/>
    <w:rsid w:val="6EFFDEAB"/>
    <w:rsid w:val="6FC354C0"/>
    <w:rsid w:val="6FFB39BA"/>
    <w:rsid w:val="70B12FF8"/>
    <w:rsid w:val="70F058CE"/>
    <w:rsid w:val="71A5490B"/>
    <w:rsid w:val="71EE394D"/>
    <w:rsid w:val="7231294E"/>
    <w:rsid w:val="72EE41CA"/>
    <w:rsid w:val="7385527B"/>
    <w:rsid w:val="739A055D"/>
    <w:rsid w:val="73B8633F"/>
    <w:rsid w:val="74004C43"/>
    <w:rsid w:val="741908E0"/>
    <w:rsid w:val="745E6DD0"/>
    <w:rsid w:val="752975C2"/>
    <w:rsid w:val="7660153F"/>
    <w:rsid w:val="776530C4"/>
    <w:rsid w:val="77955421"/>
    <w:rsid w:val="77CA5033"/>
    <w:rsid w:val="77DB7401"/>
    <w:rsid w:val="78EA45DF"/>
    <w:rsid w:val="79A73A46"/>
    <w:rsid w:val="79CB24E1"/>
    <w:rsid w:val="7AF86832"/>
    <w:rsid w:val="7B0D13E2"/>
    <w:rsid w:val="7B1456F8"/>
    <w:rsid w:val="7BAC3E86"/>
    <w:rsid w:val="7D387404"/>
    <w:rsid w:val="7D5B5BF3"/>
    <w:rsid w:val="7D717D97"/>
    <w:rsid w:val="7F5C3A95"/>
    <w:rsid w:val="7F8656B6"/>
    <w:rsid w:val="7FAB057E"/>
    <w:rsid w:val="7FEB3A3D"/>
    <w:rsid w:val="A9FFBD92"/>
    <w:rsid w:val="B3BF8789"/>
    <w:rsid w:val="B4E3B752"/>
    <w:rsid w:val="BBBE417E"/>
    <w:rsid w:val="BF1F47EB"/>
    <w:rsid w:val="CBF503A5"/>
    <w:rsid w:val="D63D46CB"/>
    <w:rsid w:val="D7FBCDBE"/>
    <w:rsid w:val="DDFB0141"/>
    <w:rsid w:val="DEFFBF43"/>
    <w:rsid w:val="E7EB3642"/>
    <w:rsid w:val="EDEFD578"/>
    <w:rsid w:val="EEEF74E6"/>
    <w:rsid w:val="EF7E0A11"/>
    <w:rsid w:val="F78F8197"/>
    <w:rsid w:val="F7EF0F9A"/>
    <w:rsid w:val="FBFEC0AF"/>
    <w:rsid w:val="FFF79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4"/>
    <w:basedOn w:val="4"/>
    <w:next w:val="1"/>
    <w:unhideWhenUsed/>
    <w:qFormat/>
    <w:uiPriority w:val="0"/>
    <w:pPr>
      <w:spacing w:before="280" w:after="290" w:line="376" w:lineRule="auto"/>
      <w:outlineLvl w:val="3"/>
    </w:pPr>
    <w:rPr>
      <w:b w:val="0"/>
      <w:bCs w:val="0"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Document Map"/>
    <w:basedOn w:val="1"/>
    <w:link w:val="16"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ody Text"/>
    <w:basedOn w:val="1"/>
    <w:next w:val="8"/>
    <w:qFormat/>
    <w:uiPriority w:val="99"/>
    <w:pPr>
      <w:spacing w:after="120"/>
    </w:pPr>
  </w:style>
  <w:style w:type="paragraph" w:styleId="8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line="360" w:lineRule="auto"/>
    </w:pPr>
    <w:rPr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文档结构图 字符"/>
    <w:basedOn w:val="14"/>
    <w:link w:val="6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页眉 字符"/>
    <w:basedOn w:val="14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1515</Words>
  <Characters>1635</Characters>
  <Lines>10</Lines>
  <Paragraphs>2</Paragraphs>
  <TotalTime>3</TotalTime>
  <ScaleCrop>false</ScaleCrop>
  <LinksUpToDate>false</LinksUpToDate>
  <CharactersWithSpaces>1635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2023-02-17T14:20:00Z</dcterms:created>
  <dc:creator>曲燕</dc:creator>
  <cp:lastModifiedBy>mgw22</cp:lastModifiedBy>
  <cp:lastPrinted>2023-04-21T04:39:00Z</cp:lastPrinted>
  <dcterms:modified xsi:type="dcterms:W3CDTF">2023-04-26T11:03:35Z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84F91E3623AB4A75907254AF01B42E1A_13</vt:lpwstr>
  </property>
</Properties>
</file>