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改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革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报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表（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2024年5月版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）</w:t>
      </w:r>
    </w:p>
    <w:tbl>
      <w:tblPr>
        <w:tblStyle w:val="4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58"/>
        <w:gridCol w:w="2065"/>
        <w:gridCol w:w="7001"/>
        <w:gridCol w:w="112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评价维度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指标名称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评价内容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评价周期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数据来源单位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数字重庆建设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“一地创新、全市共享”的独立开发应用数、一体化治理智治平台使用率、“一件事”应用数及上线数、区县城运中心贯通应用数、区县城运中心事件处置率、数据归集贡献率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  <w:t>6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项内容，按 25：20：15：10：15：15 分配权重，总分 100 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“一地创新、全市共享”的独立开发应用数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区县独立开发（含市级应用试点区县独立开发），且通过“一地创新、全市共享”审核流程的应用数量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一体化治理智治平台使用率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由重点对象关注覆盖率、事件和任务按期办理完成率、核心业务数字化率构成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，分别占6分、8分、6分。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“一件事”应用数及上线数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进入区县应用“一本账”的应用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开发上线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〔指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在渝快政、渝快办上线或已接入三级治理中心（非界面链接集成）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〕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，各占 7.5分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已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上线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应用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如果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出现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网络和数据安全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重大事故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严重负面舆情，每发现一次扣1分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区县城运中心贯通应用数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已接入区县数字化城市运行和治理中心并具备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非自闭环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真实事件流转的应用数量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区县城运中心事件处置率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由专家评估组随机抽取每个区县城运中心100 个真实流转事件，进行打分评价并取平均值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数据归集贡献率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由数据治理合格率、感知数据接入率构成，各占7.5分，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数据治理合格率=经过数据治理合格的目录数量占本区县已归集目录数量的比例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感知数据接入率=类型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接入率</w:t>
            </w:r>
            <w:r>
              <w:rPr>
                <w:rStyle w:val="6"/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×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0.6+数量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接入率</w:t>
            </w:r>
            <w:r>
              <w:rPr>
                <w:rStyle w:val="6"/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×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0.4，其中，类型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接入率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=本区县实际接入的重点感知类型/全市重点感知类型，数量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接入率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=本区县感知有效接入数量/全市感知平均有效接入数量。单项指标得分=区县实际值/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该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指标最大值。总分=∑单项指标得分*权重。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市大数据发展局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打赢国企改革攻坚战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评价区县国企止损减亏完成率、法人压减完成率2项内容，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按1：1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分配权重，总分100分。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其中，国企止损减亏完成率=止损减亏企业户数/纳入目标责任书统计的亏损企业总户数，法人压减完成率=压减户数/纳入目标责任书统计的应压减企业总户数。总分=∑单项指标得分*权重。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打赢园区开发区改革攻坚战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评价区县园区开发区规上工业企业营业收入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。园区开发区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规上工业企业营业收入完成率=实际完成营业收入/各区县签订目标责任书上设定的规上工业企业营业收入。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总分=园区开发区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规上工业企业营业收入完成率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*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市发展改革委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市经济信息委</w:t>
            </w:r>
          </w:p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打赢政企分离改革攻坚战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评价区县政企分离改革完成率、国有资产集中统一监管比例2项内容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，按1：1分配权重，总分100分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政企分离改革完成率=已完成政企分离改革国有企业（全级次）数量/须政企分离改革国有企业（全级次）总量，国有资产集中统一监管比例=已纳入集中统一监管国有企业（全级次）数量/国有企业（全级次）总量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市委办公厅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全力推动国有资产盘活取得重大成果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评价区县盘活存量国有资产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完成率、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存量国有资产盘活回收资金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2项内容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，按1：1分配权重，总分100分。</w:t>
            </w:r>
          </w:p>
          <w:p>
            <w:pPr>
              <w:pStyle w:val="2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其中，盘活存量国有资产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=区县已盘活存量国有资产价值/区县按照“三个一批”盘活原则确定的2024年存量国有资产盘活目标，存量国有资产盘活回收资金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=区县已盘活变现的回收资金/区县确定的全年存量国有资产盘活目标中实现变现的盘活回收资金。总分=∑单项指标得分*权重。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pStyle w:val="2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推进“大综合一体化”行政执法体制改革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综合行政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执法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率。综合行政执法案件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率=各区县综合行政执法案件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（含镇街）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经行政复议后被变更、撤销的案件数量（被申请行政复议后，裁决确认违法、撤销、变更的数量）/各区县综合行政执法案件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（含镇街）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总数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〔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具体指区县7支综合执法队伍（城市管理、市场监管、文化旅游、应急管理、农业农村、交通运输、生态环境）执法案件数量+乡镇街道综合执法案件数量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〕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，案件类型指行政处罚案件。总分=（1-综合行政执法案件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率）*100。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176" w:type="dxa"/>
            <w:vAlign w:val="center"/>
          </w:tcPr>
          <w:p>
            <w:pPr>
              <w:pStyle w:val="2"/>
              <w:ind w:left="0" w:leftChars="0" w:firstLine="0" w:firstLineChars="0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医改惠民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数字医学影像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检查结果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、居民规范化电子健康档案覆盖率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项内容，按1：1分配权重，总分100分。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数字医学影像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检查结果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=互认人次/相似检查人次（3个月内相似检查提醒量），互认率≥30%得50分，25%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30%得40分，20%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25%得30分，互认率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20%得20分。居民规范化电子健康档案覆盖率=居民规范化电子健康档案覆盖人数/辖区内常住居民数，覆盖率≥64%得50分，60%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64%得40分，55%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60%得30分，覆盖率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55%得20分。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总分=∑单项指标得分。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改革探索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新增国家改革试点项目数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当年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新争取国家级改革试点项目数。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包括：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①党中央、国务院或中办、国办批复部署。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②国家有关部委（含司局级）安排部署。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③全国人大常委会授权部署。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各区县、各试点主管部门（市委改革办负责审核）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改革成效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改革经验获全国性肯定评价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次数</w:t>
            </w:r>
          </w:p>
        </w:tc>
        <w:tc>
          <w:tcPr>
            <w:tcW w:w="70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评价区县改革工作在国家层面获得肯定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数。分为三类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：</w:t>
            </w:r>
          </w:p>
          <w:p>
            <w:pPr>
              <w:ind w:firstLine="420" w:firstLineChars="200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第一类按实际次数</w:t>
            </w:r>
            <w:r>
              <w:rPr>
                <w:rStyle w:val="6"/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×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5计算，包括：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①党和国家领导人肯定性批示。②在党和国家领导人出席的全国性会议上作经验交流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③在党中央、国务院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印发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文件中得到肯定性表述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④党中央、国务院发文通报表彰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eastAsia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第二类按实际次数</w:t>
            </w:r>
            <w:r>
              <w:rPr>
                <w:rStyle w:val="6"/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×</w:t>
            </w:r>
            <w:r>
              <w:rPr>
                <w:rStyle w:val="6"/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3计算，包括：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①中办、国办印发的信息简报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②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在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中办、国办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印发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文件中得到肯定性表述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③中办、国办发文通报表彰。④中央改革办《改革情况交流》单篇刊载。</w:t>
            </w:r>
          </w:p>
          <w:p>
            <w:pPr>
              <w:ind w:firstLine="420" w:firstLineChars="200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第三类按实际次数</w:t>
            </w:r>
            <w:r>
              <w:rPr>
                <w:rStyle w:val="6"/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×</w:t>
            </w:r>
            <w:r>
              <w:rPr>
                <w:rStyle w:val="6"/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计算，包括：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①在中央和国家有关部委主要领导出席的全国性会议上作经验交流。②中央和国家有关部委文件中得到肯定性表述。③中央和国家有关部委发文明确向全国复制推广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④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中央和国家有关部委发文通报表彰。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各区县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（市委改革办负责审核）</w:t>
            </w:r>
          </w:p>
        </w:tc>
      </w:tr>
    </w:tbl>
    <w:p/>
    <w:p>
      <w:pPr>
        <w:pStyle w:val="2"/>
        <w:ind w:left="0" w:leftChars="0" w:firstLine="280" w:firstLineChars="100"/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u w:val="none"/>
          <w:lang w:eastAsia="zh-CN"/>
        </w:rPr>
        <w:t>注：各区县填报数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u w:val="none"/>
          <w:lang w:eastAsia="zh-CN"/>
        </w:rPr>
        <w:t>据保证真实有效，一旦发现并查实数据弄虚作假，市委改革办和指标牵头单位将采取惩罚性措施。</w:t>
      </w:r>
    </w:p>
    <w:sectPr>
      <w:pgSz w:w="16838" w:h="11906" w:orient="landscape"/>
      <w:pgMar w:top="1020" w:right="1134" w:bottom="96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RlYjMyZmRmMmZlMDIwNDgwODRjZDUwZmIwOWEifQ=="/>
  </w:docVars>
  <w:rsids>
    <w:rsidRoot w:val="2EB4062D"/>
    <w:rsid w:val="0C7A0A04"/>
    <w:rsid w:val="0E3B52C4"/>
    <w:rsid w:val="176F2973"/>
    <w:rsid w:val="1DA5CB93"/>
    <w:rsid w:val="25132B2F"/>
    <w:rsid w:val="25BB2C0D"/>
    <w:rsid w:val="2B7DE75C"/>
    <w:rsid w:val="2EB4062D"/>
    <w:rsid w:val="2FFE51BF"/>
    <w:rsid w:val="3A6EB41A"/>
    <w:rsid w:val="3BFCD23C"/>
    <w:rsid w:val="3D7F1B22"/>
    <w:rsid w:val="3DECE53D"/>
    <w:rsid w:val="3DF976AB"/>
    <w:rsid w:val="3F5D3C8E"/>
    <w:rsid w:val="3FCEDE1D"/>
    <w:rsid w:val="3FCFBAE5"/>
    <w:rsid w:val="3FF70224"/>
    <w:rsid w:val="437BA8E6"/>
    <w:rsid w:val="5B9DF3F5"/>
    <w:rsid w:val="5DA94A4E"/>
    <w:rsid w:val="5F4DE395"/>
    <w:rsid w:val="5F75FE0A"/>
    <w:rsid w:val="5FDCEAD2"/>
    <w:rsid w:val="67DEB9EE"/>
    <w:rsid w:val="67FB37A6"/>
    <w:rsid w:val="69DD9572"/>
    <w:rsid w:val="6CFEBDC1"/>
    <w:rsid w:val="6DB956D7"/>
    <w:rsid w:val="6DBB37E5"/>
    <w:rsid w:val="6F621686"/>
    <w:rsid w:val="73F73427"/>
    <w:rsid w:val="75EBEE3F"/>
    <w:rsid w:val="761F9801"/>
    <w:rsid w:val="76D7D8FB"/>
    <w:rsid w:val="76DF4D9B"/>
    <w:rsid w:val="777FFF31"/>
    <w:rsid w:val="79BB82C9"/>
    <w:rsid w:val="79DF5456"/>
    <w:rsid w:val="79FEC04D"/>
    <w:rsid w:val="7B734BB6"/>
    <w:rsid w:val="7BAEA8F6"/>
    <w:rsid w:val="7BB6D7A4"/>
    <w:rsid w:val="7BFB2279"/>
    <w:rsid w:val="7BFDDC81"/>
    <w:rsid w:val="7CBBBB3C"/>
    <w:rsid w:val="7CBF3DC8"/>
    <w:rsid w:val="7DBB1378"/>
    <w:rsid w:val="7DDD8AE4"/>
    <w:rsid w:val="7DF84501"/>
    <w:rsid w:val="7EF6A328"/>
    <w:rsid w:val="7EF7D450"/>
    <w:rsid w:val="7EFC969B"/>
    <w:rsid w:val="7EFF08B2"/>
    <w:rsid w:val="7EFFBC54"/>
    <w:rsid w:val="7F3F644A"/>
    <w:rsid w:val="7F74B3E5"/>
    <w:rsid w:val="7F7EBFEC"/>
    <w:rsid w:val="7F9D151B"/>
    <w:rsid w:val="7FAF792E"/>
    <w:rsid w:val="7FFBD6DC"/>
    <w:rsid w:val="7FFD301B"/>
    <w:rsid w:val="87F1AF36"/>
    <w:rsid w:val="96F7F656"/>
    <w:rsid w:val="978F8FB1"/>
    <w:rsid w:val="9EDF9BBE"/>
    <w:rsid w:val="A37E4FEB"/>
    <w:rsid w:val="B3F7E242"/>
    <w:rsid w:val="B6DBB9C3"/>
    <w:rsid w:val="B77FD9B9"/>
    <w:rsid w:val="B7FD9689"/>
    <w:rsid w:val="BDD6E79E"/>
    <w:rsid w:val="BF4B83DD"/>
    <w:rsid w:val="BFFE3B4A"/>
    <w:rsid w:val="CB6F5001"/>
    <w:rsid w:val="DBFACAC9"/>
    <w:rsid w:val="DCF17918"/>
    <w:rsid w:val="DDDFB2A3"/>
    <w:rsid w:val="DF5F2BCD"/>
    <w:rsid w:val="DF7E2417"/>
    <w:rsid w:val="DFFB5146"/>
    <w:rsid w:val="E1DB2018"/>
    <w:rsid w:val="E37F1F3B"/>
    <w:rsid w:val="E6E6B663"/>
    <w:rsid w:val="E7EA9903"/>
    <w:rsid w:val="E96F970D"/>
    <w:rsid w:val="EBCD0255"/>
    <w:rsid w:val="EDBFD44E"/>
    <w:rsid w:val="EFFAEFFB"/>
    <w:rsid w:val="EFFF3D4B"/>
    <w:rsid w:val="F2BF946A"/>
    <w:rsid w:val="F3DE6219"/>
    <w:rsid w:val="F5FC9602"/>
    <w:rsid w:val="F67E45BD"/>
    <w:rsid w:val="F6EDE051"/>
    <w:rsid w:val="F77E3114"/>
    <w:rsid w:val="F77F0E70"/>
    <w:rsid w:val="F9A5657B"/>
    <w:rsid w:val="FADFBF9A"/>
    <w:rsid w:val="FB7779DD"/>
    <w:rsid w:val="FBBF9D4A"/>
    <w:rsid w:val="FBFF8004"/>
    <w:rsid w:val="FC1F48CE"/>
    <w:rsid w:val="FD661407"/>
    <w:rsid w:val="FDD1D365"/>
    <w:rsid w:val="FDEF4CC0"/>
    <w:rsid w:val="FEDE3256"/>
    <w:rsid w:val="FFCFB9C4"/>
    <w:rsid w:val="FFD55019"/>
    <w:rsid w:val="FFDD5050"/>
    <w:rsid w:val="FFF709C6"/>
    <w:rsid w:val="FFFFE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2024-03-01T00:12:00Z</dcterms:created>
  <dc:creator>李超杰</dc:creator>
  <cp:lastModifiedBy>桥北</cp:lastModifiedBy>
  <cp:lastPrinted>2024-05-29T17:32:00Z</cp:lastPrinted>
  <dcterms:modified xsi:type="dcterms:W3CDTF">2024-05-30T10:16:35Z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62681DF96C1A2CC08C1BD365A9A64B97</vt:lpwstr>
  </property>
</Properties>
</file>